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 .</w:t>
      </w:r>
    </w:p>
    <w:p>
      <w:pPr>
        <w:spacing w:after="120"/>
        <w:ind w:firstLine="709"/>
      </w:pPr>
      <w:r>
        <w:rPr>
          <w:sz w:val="24"/>
        </w:rPr>
        <w:t xml:space="preserve">По договору об организации перевозки грузов перевозчик обязуется в установленные сроки принимать, а грузовладелец - предъявлять к перевозке грузы в обусловленном объеме. В договоре об организации перевозки грузов определяются объемы, сроки и другие условия предоставления транспортных средств и предъявления грузов для перевозки, порядок расчетов, а также иные условия организации перевозки.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798</dc:title>
  <dc:creator>АРБИТРАЖ! · arbi.ru</dc:creator>
  <cp:lastModifiedBy>АРБИТРАЖ!</cp:lastModifiedBy>
  <dcterms:created xsi:type="dcterms:W3CDTF">2026-10-23T00:44:36.300Z</dcterms:created>
</cp:coreProperties>
</file>