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Между организациями различных видов транспорта могут заключаться договоры об организации работы по обеспечению перевозок грузов (узловые соглашения, договоры на централизованный завоз (вывоз) грузов и другие).</w:t>
      </w:r>
    </w:p>
    <w:p>
      <w:pPr>
        <w:spacing w:after="120"/>
        <w:ind w:firstLine="709"/>
      </w:pPr>
      <w:r>
        <w:rPr>
          <w:sz w:val="24"/>
        </w:rPr>
        <w:t xml:space="preserve">Порядок заключения таких договоров определяется транспортными уставами и кодексами, другими законами 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799</dc:title>
  <dc:creator>АРБИТРАЖ! · arbi.ru</dc:creator>
  <cp:lastModifiedBy>АРБИТРАЖ!</cp:lastModifiedBy>
  <dcterms:created xsi:type="dcterms:W3CDTF">2026-10-22T22:03:45.715Z</dcterms:created>
</cp:coreProperties>
</file>