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Ответственность перевозчика за вред, причиненный жизни или здоровью пассажира, определяется по правилам главы 59 настоящего Кодекса, если законом или договором перевозки не предусмотрена повышенная ответственность перевозчика.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800</dc:title>
  <dc:creator>АРБИТРАЖ! · arbi.ru</dc:creator>
  <cp:lastModifiedBy>АРБИТРАЖ!</cp:lastModifiedBy>
  <dcterms:created xsi:type="dcterms:W3CDTF">2026-10-22T23:39:29.221Z</dcterms:created>
</cp:coreProperties>
</file>