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core.xml" ContentType="application/vnd.openxmlformats-package.core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>
  <w:body>
    <w:p>
      <w:pPr>
        <w:spacing w:after="120"/>
        <w:ind w:firstLine="709"/>
      </w:pPr>
      <w:r>
        <w:rPr>
          <w:sz w:val="24"/>
        </w:rPr>
        <w:t xml:space="preserve">ГК РФ, часть вторая, ст. 808</w:t>
      </w:r>
    </w:p>
    <w:p>
      <w:pPr>
        <w:spacing w:after="120"/>
        <w:ind w:firstLine="709"/>
      </w:pPr>
      <w:r>
        <w:rPr>
          <w:sz w:val="24"/>
        </w:rPr>
        <w:t xml:space="preserve">Акт: Гражданский кодекс Российской Федерации (часть вторая) № 14-ФЗ</w:t>
      </w:r>
    </w:p>
    <w:p>
      <w:pPr>
        <w:spacing w:after="120"/>
        <w:ind w:firstLine="709"/>
      </w:pPr>
      <w:r>
        <w:rPr>
          <w:sz w:val="24"/>
        </w:rPr>
        <w:t xml:space="preserve">Источник: http://pravo.gov.ru/</w:t>
      </w:r>
    </w:p>
    <w:p>
      <w:pPr>
        <w:spacing w:after="120"/>
        <w:ind w:firstLine="709"/>
      </w:pPr>
      <w:r>
        <w:rPr>
          <w:sz w:val="24"/>
        </w:rPr>
        <w:t xml:space="preserve">Раздел: Глава 41. Транспортная экспедиция</w:t>
      </w:r>
    </w:p>
    <w:p/>
    <w:p>
      <w:pPr>
        <w:spacing w:after="120"/>
        <w:ind w:firstLine="709"/>
      </w:pPr>
      <w:r>
        <w:rPr>
          <w:sz w:val="24"/>
        </w:rPr>
        <w:t xml:space="preserve">Текст приведён для работы. Юридическую силу имеет официальный источник —</w:t>
      </w:r>
    </w:p>
    <w:p>
      <w:pPr>
        <w:spacing w:after="120"/>
        <w:ind w:firstLine="709"/>
      </w:pPr>
      <w:r>
        <w:rPr>
          <w:sz w:val="24"/>
        </w:rPr>
        <w:t xml:space="preserve">сверьтесь с ним перед использованием в документе.</w:t>
      </w:r>
    </w:p>
    <w:p/>
    <w:p>
      <w:pPr>
        <w:spacing w:after="120"/>
        <w:ind w:firstLine="709"/>
      </w:pPr>
      <w:r>
        <w:rPr>
          <w:sz w:val="24"/>
        </w:rPr>
        <w:t xml:space="preserve">Путеводитель по судебной практике (высшие суды и арбитражные суды округов) по ст. 808 ГК РФ</w:t>
      </w:r>
    </w:p>
    <w:p>
      <w:pPr>
        <w:spacing w:after="120"/>
        <w:ind w:firstLine="709"/>
      </w:pPr>
      <w:r>
        <w:rPr>
          <w:sz w:val="24"/>
        </w:rPr>
        <w:t xml:space="preserve">- Подтверждает ли платежное поручение наличие договора займа</w:t>
      </w:r>
    </w:p>
    <w:p>
      <w:pPr>
        <w:spacing w:after="120"/>
        <w:ind w:firstLine="709"/>
      </w:pPr>
      <w:r>
        <w:rPr>
          <w:sz w:val="24"/>
        </w:rPr>
        <w:t xml:space="preserve">- Подтверждает ли расписка соблюдение простой письменной формы договора займа</w:t>
      </w:r>
    </w:p>
    <w:p>
      <w:pPr>
        <w:spacing w:after="120"/>
        <w:ind w:firstLine="709"/>
      </w:pPr>
      <w:r>
        <w:rPr>
          <w:sz w:val="24"/>
        </w:rPr>
        <w:t xml:space="preserve">- Подтверждают ли документы о передаче наличных денег существование отношений по займу при рассмотрении дел о банкротстве</w:t>
      </w:r>
    </w:p>
    <w:p>
      <w:pPr>
        <w:spacing w:after="120"/>
        <w:ind w:firstLine="709"/>
      </w:pPr>
      <w:r>
        <w:rPr>
          <w:sz w:val="24"/>
        </w:rPr>
        <w:t xml:space="preserve">- Подтверждает ли передачу предмета займа заемщику положение договора займа о такой передаче</w:t>
      </w:r>
    </w:p>
    <w:p>
      <w:pPr>
        <w:spacing w:after="120"/>
        <w:ind w:firstLine="709"/>
      </w:pPr>
      <w:r>
        <w:rPr>
          <w:sz w:val="24"/>
        </w:rPr>
        <w:t xml:space="preserve">- Является ли кассовый ордер доказательством заключения договора займа</w:t>
      </w:r>
    </w:p>
    <w:p>
      <w:pPr>
        <w:spacing w:after="120"/>
        <w:ind w:firstLine="709"/>
      </w:pPr>
      <w:r>
        <w:rPr>
          <w:sz w:val="24"/>
        </w:rPr>
        <w:t xml:space="preserve">1. Договор займа между гражданами должен быть заключен в письменной форме, если его сумма превышает десять тысяч рублей, а в случае, когда займодавцем является юридическое лицо, - независимо от суммы.</w:t>
      </w:r>
    </w:p>
    <w:p>
      <w:pPr>
        <w:spacing w:after="120"/>
        <w:ind w:firstLine="709"/>
      </w:pPr>
      <w:r>
        <w:rPr>
          <w:sz w:val="24"/>
        </w:rPr>
        <w:t xml:space="preserve">(в ред. Федерального закона от 26.07.2017 N 212-ФЗ)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p>
      <w:pPr>
        <w:spacing w:after="120"/>
        <w:ind w:firstLine="709"/>
      </w:pPr>
      <w:r>
        <w:rPr>
          <w:sz w:val="24"/>
        </w:rPr>
        <w:t xml:space="preserve">2. В подтверждение договора займа и его условий может быть представлена расписка заемщика или иной документ, удостоверяющие передачу ему займодавцем определенной денежной суммы или определенного количества вещей.</w:t>
      </w:r>
    </w:p>
    <w:p>
      <w:pPr>
        <w:spacing w:after="120"/>
        <w:ind w:firstLine="709"/>
      </w:pPr>
      <w:r>
        <w:rPr>
          <w:sz w:val="24"/>
        </w:rPr>
        <w:t xml:space="preserve">&lt;div class="</w:t>
      </w:r>
    </w:p>
    <w:sectPr>
      <w:pgSz w:w="11906" w:h="16838"/>
      <w:pgMar w:top="1134" w:right="850" w:bottom="1134" w:left="1701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Times New Roman" w:hAnsi="Times New Roman" w:cs="Times New Roman"/>
        <w:sz w:val="24"/>
      </w:rPr>
    </w:rPrDefault>
  </w:docDefaults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/Relationship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ГК РФ, часть вторая, ст. 808</dc:title>
  <dc:creator>АРБИТРАЖ! · arbi.ru</dc:creator>
  <cp:lastModifiedBy>АРБИТРАЖ!</cp:lastModifiedBy>
  <dcterms:created xsi:type="dcterms:W3CDTF">2026-10-22T22:48:13.422Z</dcterms:created>
</cp:coreProperties>
</file>