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814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нецелевое использование кредита достаточным основанием для признания сделки недействительной, если его выдали для целей хоздеятельности</w:t>
      </w:r>
    </w:p>
    <w:p>
      <w:pPr>
        <w:spacing w:after="120"/>
        <w:ind w:firstLine="709"/>
      </w:pPr>
      <w:r>
        <w:rPr>
          <w:sz w:val="24"/>
        </w:rPr>
        <w:t xml:space="preserve">- Можно ли использовать заем на любые цели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814 ГК РФ</w:t>
      </w:r>
    </w:p>
    <w:p>
      <w:pPr>
        <w:spacing w:after="120"/>
        <w:ind w:firstLine="709"/>
      </w:pPr>
      <w:r>
        <w:rPr>
          <w:sz w:val="24"/>
        </w:rPr>
        <w:t xml:space="preserve">1. Если договор займа заключен с условием использования заемщиком полученных средств на определенные цели (целевой заем), заемщик обязан обеспечить возможность осуществления займодавцем контроля за целевым использованием займа.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невыполнения заемщиком условия договора займа о целевом использовании займа, а также при нарушении обязанностей, предусмотренных пунктом 1 настоящей статьи, займодавец вправе отказаться от дальнейшего исполнения договора займа, потребовать от заемщика досрочного возврата предоставленного займа и уплаты причитающихся на момент возврата процентов за пользование займом,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Причитающиеся за пользование займом проценты уплачиваются заемщиком по правилам пункта 2 статьи 811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814</dc:title>
  <dc:creator>АРБИТРАЖ! · arbi.ru</dc:creator>
  <cp:lastModifiedBy>АРБИТРАЖ!</cp:lastModifiedBy>
  <dcterms:created xsi:type="dcterms:W3CDTF">2026-10-23T15:32:52.139Z</dcterms:created>
</cp:coreProperties>
</file>