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820 ГК РФ</w:t>
      </w:r>
    </w:p>
    <w:p>
      <w:pPr>
        <w:spacing w:after="120"/>
        <w:ind w:firstLine="709"/>
      </w:pPr>
      <w:r>
        <w:rPr>
          <w:sz w:val="24"/>
        </w:rPr>
        <w:t xml:space="preserve">- Может ли заемщик, нарушивший форму сделки, требовать признания ее недействительной</w:t>
      </w:r>
    </w:p>
    <w:p>
      <w:pPr>
        <w:spacing w:after="120"/>
        <w:ind w:firstLine="709"/>
      </w:pPr>
      <w:r>
        <w:rPr>
          <w:sz w:val="24"/>
        </w:rPr>
        <w:t xml:space="preserve">Кредитный договор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кредитного договора.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820</dc:title>
  <dc:creator>АРБИТРАЖ! · arbi.ru</dc:creator>
  <cp:lastModifiedBy>АРБИТРАЖ!</cp:lastModifiedBy>
  <dcterms:created xsi:type="dcterms:W3CDTF">2026-10-22T23:05:44.286Z</dcterms:created>
</cp:coreProperties>
</file>