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820 ГК РФ</w:t>
      </w:r>
    </w:p>
    <w:p>
      <w:pPr>
        <w:spacing w:after="120"/>
        <w:ind w:firstLine="709"/>
      </w:pPr>
      <w:r>
        <w:rPr>
          <w:sz w:val="24"/>
        </w:rPr>
        <w:t xml:space="preserve">- Может ли заемщик, нарушивший форму сделки, требовать признания ее недействительной</w:t>
      </w:r>
    </w:p>
    <w:p>
      <w:pPr>
        <w:spacing w:after="120"/>
        <w:ind w:firstLine="709"/>
      </w:pPr>
      <w:r>
        <w:rPr>
          <w:sz w:val="24"/>
        </w:rPr>
        <w:t xml:space="preserve">Кредитный договор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кредитного договора. Такой договор считается ничтожным.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820</dc:title>
  <dc:creator>АРБИТРАЖ! · arbi.ru</dc:creator>
  <cp:lastModifiedBy>АРБИТРАЖ!</cp:lastModifiedBy>
  <dcterms:created xsi:type="dcterms:W3CDTF">2026-10-22T17:24:42.893Z</dcterms:created>
</cp:coreProperties>
</file>