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820 ГК РФ</w:t>
      </w:r>
    </w:p>
    <w:p>
      <w:pPr>
        <w:spacing w:after="120"/>
        <w:ind w:firstLine="709"/>
      </w:pPr>
      <w:r>
        <w:rPr>
          <w:sz w:val="24"/>
        </w:rPr>
        <w:t xml:space="preserve">- Может ли заемщик, нарушивший форму сделки, требовать признания ее недействительной</w:t>
      </w:r>
    </w:p>
    <w:p>
      <w:pPr>
        <w:spacing w:after="120"/>
        <w:ind w:firstLine="709"/>
      </w:pPr>
      <w:r>
        <w:rPr>
          <w:sz w:val="24"/>
        </w:rPr>
        <w:t xml:space="preserve">Кредитный договор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кредитного договора.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820</dc:title>
  <dc:creator>АРБИТРАЖ! · arbi.ru</dc:creator>
  <cp:lastModifiedBy>АРБИТРАЖ!</cp:lastModifiedBy>
  <dcterms:created xsi:type="dcterms:W3CDTF">2026-10-22T19:07:54.569Z</dcterms:created>
</cp:coreProperties>
</file>