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821 ГК РФ</w:t>
      </w:r>
    </w:p>
    <w:p>
      <w:pPr>
        <w:spacing w:after="120"/>
        <w:ind w:firstLine="709"/>
      </w:pPr>
      <w:r>
        <w:rPr>
          <w:sz w:val="24"/>
        </w:rPr>
        <w:t xml:space="preserve">- Можно ли в кредитном договоре установить основания для отказа в предоставлении кредита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821 ГК РФ</w:t>
      </w:r>
    </w:p>
    <w:p>
      <w:pPr>
        <w:spacing w:after="120"/>
        <w:ind w:firstLine="709"/>
      </w:pPr>
      <w:r>
        <w:rPr>
          <w:sz w:val="24"/>
        </w:rPr>
        <w:t xml:space="preserve">1.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обстоятельств, очевидно свидетельствующих о том, что предоставленная заемщику сумма не будет возвращена в срок.</w:t>
      </w:r>
    </w:p>
    <w:p>
      <w:pPr>
        <w:spacing w:after="120"/>
        <w:ind w:firstLine="709"/>
      </w:pPr>
      <w:r>
        <w:rPr>
          <w:sz w:val="24"/>
        </w:rPr>
        <w:t xml:space="preserve">2. Заемщик вправе отказаться от получения кредита полностью или частично, уведомив об этом кредитора до установленного договором срока его предоставления, если иное не предусмотрено законом, иными правовыми актами или кредитным договором.</w:t>
      </w:r>
    </w:p>
    <w:p>
      <w:pPr>
        <w:spacing w:after="120"/>
        <w:ind w:firstLine="709"/>
      </w:pPr>
      <w:r>
        <w:rPr>
          <w:sz w:val="24"/>
        </w:rPr>
        <w:t xml:space="preserve">3. В случае нарушения заемщиком предусмотренной кредитным договором обязанности целевого использования кредита (статья 814) кредитор вправе также отказаться от дальнейшего кредитования заемщика по договору.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821</dc:title>
  <dc:creator>АРБИТРАЖ! · arbi.ru</dc:creator>
  <cp:lastModifiedBy>АРБИТРАЖ!</cp:lastModifiedBy>
  <dcterms:created xsi:type="dcterms:W3CDTF">2026-10-22T22:16:14.513Z</dcterms:created>
</cp:coreProperties>
</file>