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827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43. Финансирование под уступку денежного требования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827 ГК РФ</w:t>
      </w:r>
    </w:p>
    <w:p>
      <w:pPr>
        <w:spacing w:after="120"/>
        <w:ind w:firstLine="709"/>
      </w:pPr>
      <w:r>
        <w:rPr>
          <w:sz w:val="24"/>
        </w:rPr>
        <w:t xml:space="preserve">- Является ли ответственность клиента и должника солидарной при ненадлежащем исполнении требований по договору факторинга</w:t>
      </w:r>
    </w:p>
    <w:p>
      <w:pPr>
        <w:spacing w:after="120"/>
        <w:ind w:firstLine="709"/>
      </w:pPr>
      <w:r>
        <w:rPr>
          <w:sz w:val="24"/>
        </w:rPr>
        <w:t xml:space="preserve">1. Если договором факторинга не предусмотрено иное, клиент несет перед финансовым агентом ответственность за недействительность денежного требования, являющегося предметом уступки.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26.07.2017 N 212-ФЗ)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Утратил силу с 1 июня 2018 года. - Федеральный закон от 26.07.2017 N 212-ФЗ.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Клиент не отвечает за неисполнение или ненадлежащее исполнение должником требования, являющегося предметом уступки, в случае предъявления его финансовым агентом к исполнению, если иное не предусмотрено договором между клиентом и финансовым агентом.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827</dc:title>
  <dc:creator>АРБИТРАЖ! · arbi.ru</dc:creator>
  <cp:lastModifiedBy>АРБИТРАЖ!</cp:lastModifiedBy>
  <dcterms:created xsi:type="dcterms:W3CDTF">2026-10-22T18:53:52.939Z</dcterms:created>
</cp:coreProperties>
</file>