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828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подписание уведомления об уступке согласием должника на переход требований к фактору</w:t>
      </w:r>
    </w:p>
    <w:p>
      <w:pPr>
        <w:spacing w:after="120"/>
        <w:ind w:firstLine="709"/>
      </w:pPr>
      <w:r>
        <w:rPr>
          <w:sz w:val="24"/>
        </w:rPr>
        <w:t xml:space="preserve">1. Уступка финансовому агенту денежного требования является действительной, даже если между клиентом и его должником либо между клиентом и лицом, уступившим ему право требования, существует соглашение о ее запрете или ограничении.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Положение, установленное пунктом 1 настоящей статьи,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828</dc:title>
  <dc:creator>АРБИТРАЖ! · arbi.ru</dc:creator>
  <cp:lastModifiedBy>АРБИТРАЖ!</cp:lastModifiedBy>
  <dcterms:created xsi:type="dcterms:W3CDTF">2026-10-22T19:07:20.044Z</dcterms:created>
</cp:coreProperties>
</file>