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839 ГК РФ</w:t>
      </w:r>
    </w:p>
    <w:p>
      <w:pPr>
        <w:spacing w:after="120"/>
        <w:ind w:firstLine="709"/>
      </w:pPr>
      <w:r>
        <w:rPr>
          <w:sz w:val="24"/>
        </w:rPr>
        <w:t xml:space="preserve">- Обязан ли банк прекратить начислять проценты со дня, когда получено заявление о досрочном возврате вклада</w:t>
      </w:r>
    </w:p>
    <w:p>
      <w:pPr>
        <w:spacing w:after="120"/>
        <w:ind w:firstLine="709"/>
      </w:pPr>
      <w:r>
        <w:rPr>
          <w:sz w:val="24"/>
        </w:rPr>
        <w:t xml:space="preserve">- Можно ли увеличить сумму вклада за счет невостребованных процентов</w:t>
      </w:r>
    </w:p>
    <w:p>
      <w:pPr>
        <w:spacing w:after="120"/>
        <w:ind w:firstLine="709"/>
      </w:pPr>
      <w:r>
        <w:rPr>
          <w:sz w:val="24"/>
        </w:rPr>
        <w:t xml:space="preserve">1. Проценты на сумму банковского вклада начисляются со дня, следующего за днем ее поступления в банк, до дня ее возврата вкладчику включительно, а если ее списание со счета вкладчика произведено по иным основаниям, до дня списания включительно.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21.03.2005 N 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 банковского вклада, проценты на сумму банковского вклада выплачиваются вкладчику по его требованию по истечении каждого квартала отдельно от суммы вклада, а невостребованные в этот срок проценты увеличивают сумму вклада, на которую начисляются проценты.</w:t>
      </w:r>
    </w:p>
    <w:p>
      <w:pPr>
        <w:spacing w:after="120"/>
        <w:ind w:firstLine="709"/>
      </w:pPr>
      <w:r>
        <w:rPr>
          <w:sz w:val="24"/>
        </w:rPr>
        <w:t xml:space="preserve">При возврате вклада выплачиваются все начисленные к этому моменту проценты.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839</dc:title>
  <dc:creator>АРБИТРАЖ! · arbi.ru</dc:creator>
  <cp:lastModifiedBy>АРБИТРАЖ!</cp:lastModifiedBy>
  <dcterms:created xsi:type="dcterms:W3CDTF">2026-10-22T22:04:31.345Z</dcterms:created>
</cp:coreProperties>
</file>