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По договору банковского вклада, предметом которого является драгоценный металл определенного наименования (вклад в драгоценных металлах), банк обязуется возвратить вкладчику имеющийся во вкладе драгоценный металл того же наименования и той же массы либо выдать денежные средства в сумме, эквивалентной стоимости этого металла, а также выплатить предусмотренные договором проценты.</w:t>
      </w:r>
    </w:p>
    <w:p>
      <w:pPr>
        <w:spacing w:after="120"/>
        <w:ind w:firstLine="709"/>
      </w:pPr>
      <w:r>
        <w:rPr>
          <w:sz w:val="24"/>
        </w:rPr>
        <w:t xml:space="preserve">2. Договор банковского вклада в драгоценных металлах должен содержать обязательное указание на наименование драгоценного металла, размер процентов по вкладу и форму их получения вкладчиком, а также порядок расчета суммы денежных средств, подлежащих выдаче, если возможность такой выдачи предусмотрена договором.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законом или не вытекает из существа обязательства, к отношениям по договору банковского вклада в драгоценных металлах применяются правила о вкладах, предусмотренные настоящим Кодексом, в том числе правила абзаца седьмого пункта 1 статьи 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К отношениям по договору банковского вклада в драгоценных металлах правила пункта 1 статьи 840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применяются, о чем гражданин должен быть уведомлен в письменной форме до заключения договора банковского вклада в драгоценных металлах, а банк должен получить от гражданина подтверждение того, что такое уведомление было совершено.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банковском счете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844.1</dc:title>
  <dc:creator>АРБИТРАЖ! · arbi.ru</dc:creator>
  <cp:lastModifiedBy>АРБИТРАЖ!</cp:lastModifiedBy>
  <dcterms:created xsi:type="dcterms:W3CDTF">2026-10-22T22:47:29.298Z</dcterms:created>
</cp:coreProperties>
</file>