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Права лиц, осуществляющих от имени клиента распоряжения о перечислении и выдаче средств со счета, удостоверяются клиентом путем представления банку документов, предусмотренных законом, установленными в соответствии с ним банковскими правилами и договором банковского счета.</w:t>
      </w:r>
    </w:p>
    <w:p>
      <w:pPr>
        <w:spacing w:after="120"/>
        <w:ind w:firstLine="709"/>
      </w:pPr>
      <w:r>
        <w:rPr>
          <w:sz w:val="24"/>
        </w:rPr>
        <w:t xml:space="preserve">2. Клиент может дать распоряжение банку о списании денежных средств со счета по требованию третьих лиц, в том числе связанному с исполнением клиентом своих обязательств перед этими лицами. Банк принимает эти распоряжения при условии указания в них в письменной форме необходимых данных, позволяющих при предъявлении соответствующего требования идентифицировать лицо, имеющее право на его предъявление.</w:t>
      </w:r>
    </w:p>
    <w:p>
      <w:pPr>
        <w:spacing w:after="120"/>
        <w:ind w:firstLine="709"/>
      </w:pPr>
      <w:r>
        <w:rPr>
          <w:sz w:val="24"/>
        </w:rPr>
        <w:t xml:space="preserve">3. Банк исполняет распоряжение о списании денежных средств при недостаточности денежных средств на банковском счете, если этот счет включен в соответствии с договором банковского счета в группу банковских счетов, в том числе принадлежащих разным лицам, и на всех банковских счетах, включенных в указанную группу, достаточно денежных средств для исполнения распоряжения клиента. При этом такое списание не является кредитованием счета.</w:t>
      </w:r>
    </w:p>
    <w:p>
      <w:pPr>
        <w:spacing w:after="120"/>
        <w:ind w:firstLine="709"/>
      </w:pPr>
      <w:r>
        <w:rPr>
          <w:sz w:val="24"/>
        </w:rPr>
        <w:t xml:space="preserve">4. Договором может быть предусмотрено удостоверение прав распоряжения денежными суммами, находящимися на счете, электронными средствами платежа и иными способами с использованием в них аналогов собственноручной подписи (пункт 2 статьи 160) , кодов, паролей и других средств, подтверждающих, что распоряжение дано уполномоченным на это лицом.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847</dc:title>
  <dc:creator>АРБИТРАЖ! · arbi.ru</dc:creator>
  <cp:lastModifiedBy>АРБИТРАЖ!</cp:lastModifiedBy>
  <dcterms:created xsi:type="dcterms:W3CDTF">2026-10-22T20:07:24.448Z</dcterms:created>
</cp:coreProperties>
</file>