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853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Денежные требования банка к клиенту, связанные с кредитованием счета (статья 850) и оплатой услуг банка (статья 851) , а также требования клиента к банку об уплате процентов за пользование денежными средствами (статья 852) прекращаются зачетом (статья 410) , если иное не предусмотрено договором банковского счета.</w:t>
      </w:r>
    </w:p>
    <w:p>
      <w:pPr>
        <w:spacing w:after="120"/>
        <w:ind w:firstLine="709"/>
      </w:pPr>
      <w:r>
        <w:rPr>
          <w:sz w:val="24"/>
        </w:rPr>
        <w:t xml:space="preserve">Зачет указанных требований осуществляется банком. Банк обязан информировать клиента о произведенном зачете в порядке и в сроки, которые предусмотрены договором, а если соответствующие условия сторонами не согласованы, - в порядке и в сроки, которые являются обычными для банковской практики предоставления клиентам информации о состоянии денежных средств на соответствующем счете.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853</dc:title>
  <dc:creator>АРБИТРАЖ! · arbi.ru</dc:creator>
  <cp:lastModifiedBy>АРБИТРАЖ!</cp:lastModifiedBy>
  <dcterms:created xsi:type="dcterms:W3CDTF">2026-10-22T20:26:28.473Z</dcterms:created>
</cp:coreProperties>
</file>