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856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856 ГК РФ</w:t>
      </w:r>
    </w:p>
    <w:p>
      <w:pPr>
        <w:spacing w:after="120"/>
        <w:ind w:firstLine="709"/>
      </w:pPr>
      <w:r>
        <w:rPr>
          <w:sz w:val="24"/>
        </w:rPr>
        <w:t xml:space="preserve">- Клиент банка хочет взыскать ущерб, причиненный списанием денег с его счета</w:t>
      </w:r>
    </w:p>
    <w:p>
      <w:pPr>
        <w:spacing w:after="120"/>
        <w:ind w:firstLine="709"/>
      </w:pPr>
      <w:r>
        <w:rPr>
          <w:sz w:val="24"/>
        </w:rPr>
        <w:t xml:space="preserve">- Вкладчик хочет взыскать неустойку (проценты) за просрочку исполнения банком обязательств по возврату вклада</w:t>
      </w:r>
    </w:p>
    <w:p>
      <w:pPr>
        <w:spacing w:after="120"/>
        <w:ind w:firstLine="709"/>
      </w:pPr>
      <w:r>
        <w:rPr>
          <w:sz w:val="24"/>
        </w:rPr>
        <w:t xml:space="preserve">В случаях несвоевременного зачисления банком на счет клиента поступивших клиенту денежных средств либо их необоснованного списания со счета,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размере, которые предусмотрены статьей 395 настоящего Кодекса, независимо от уплаты процентов, предусмотренных пунктом 1 статьи 852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856</dc:title>
  <dc:creator>АРБИТРАЖ! · arbi.ru</dc:creator>
  <cp:lastModifiedBy>АРБИТРАЖ!</cp:lastModifiedBy>
  <dcterms:created xsi:type="dcterms:W3CDTF">2026-10-22T13:35:24.477Z</dcterms:created>
</cp:coreProperties>
</file>