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счета в драгоценных металлах банк обязуется принимать и зачислять поступающий на счет, открытый клиенту (владельцу счета), драгоценный металл, а также выполнять распоряжения клиента о его перечислении на счет, о выдаче со счета драгоценного металла того же наименования и той же массы либо о выдаче на условиях и в порядке, которые предусмотрены договором, денежных средств в сумме, эквивалентной стоимости этого металла.</w:t>
      </w:r>
    </w:p>
    <w:p>
      <w:pPr>
        <w:spacing w:after="120"/>
        <w:ind w:firstLine="709"/>
      </w:pPr>
      <w:r>
        <w:rPr>
          <w:sz w:val="24"/>
        </w:rPr>
        <w:t xml:space="preserve">Порядок осуществления операций по банковскому счету в драгоценных металлах регулируется законом, а также установленными в соответствии с ним банковскими правилами .</w:t>
      </w:r>
    </w:p>
    <w:p>
      <w:pPr>
        <w:spacing w:after="120"/>
        <w:ind w:firstLine="709"/>
      </w:pPr>
      <w:r>
        <w:rPr>
          <w:sz w:val="24"/>
        </w:rPr>
        <w:t xml:space="preserve">2. Договор банковского счета в драгоценных металлах должен содержать обязательное указание на наименование драгоценного металла, а также порядок расчета суммы денежных средств, подлежащих выдаче со счета, если возможность их выдачи предусмотрена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законом, установленными в соответствии с ним банковскими правилами или не вытекает из существа счета, к отношениям по договору банковского счета в драгоценных металлах, а также к отношениям, возникающим при проведении операций по счету, применяются правила о счетах, предусмотренные настоящим Кодексом, в том числе правила абзаца седьмого пункта 1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 отношениям по договору банковского счета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применяются, о чем клиент-гражданин должен быть уведомлен в письменной форме до заключения договора банковского счета в драгоценных металлах, а банк должен получить от гражданина подтверждение того, что такое уведомление было совершено.</w:t>
      </w:r>
    </w:p>
    <w:p>
      <w:pPr>
        <w:spacing w:after="120"/>
        <w:ind w:firstLine="709"/>
      </w:pPr>
      <w:r>
        <w:rPr>
          <w:sz w:val="24"/>
        </w:rPr>
        <w:t xml:space="preserve">4. Совместный счет, номинальный счет, публичный депозитный счет и иные виды банковских счетов, предусмотренных законом, могут быть счетами в драгоценных металлах.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859.1</dc:title>
  <dc:creator>АРБИТРАЖ! · arbi.ru</dc:creator>
  <cp:lastModifiedBy>АРБИТРАЖ!</cp:lastModifiedBy>
  <dcterms:created xsi:type="dcterms:W3CDTF">2026-10-22T23:40:11.829Z</dcterms:created>
</cp:coreProperties>
</file>