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Номинальный счет может открываться владельцу счета для совершения операций с денежными средствами, права на которые принадлежат другому лицу-бенефициару.</w:t>
      </w:r>
    </w:p>
    <w:p>
      <w:pPr>
        <w:spacing w:after="120"/>
        <w:ind w:firstLine="709"/>
      </w:pPr>
      <w:r>
        <w:rPr>
          <w:sz w:val="24"/>
        </w:rPr>
        <w:t xml:space="preserve">Права на денежные средства, поступающие на номинальный счет, в том числе в результате их внесения владельцем счета, принадлежат бенефициару.</w:t>
      </w:r>
    </w:p>
    <w:p>
      <w:pPr>
        <w:spacing w:after="120"/>
        <w:ind w:firstLine="709"/>
      </w:pPr>
      <w:r>
        <w:rPr>
          <w:sz w:val="24"/>
        </w:rPr>
        <w:t xml:space="preserve">Номинальный счет может открываться для совершения операций с денежными средствами, права на которые принадлежат нескольким лицам-бенефициарам, за исключением случаев,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законом , владелец счета может быть одновременно одним из нескольких бенефициаров, при этом в отношениях с банком такое лицо обязано всякий раз указывать, что действует в качестве владельца счета или в качестве бенефициара.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30.12.2020 N 528-ФЗ)</w:t>
      </w:r>
    </w:p>
    <w:p>
      <w:pPr>
        <w:spacing w:after="120"/>
        <w:ind w:firstLine="709"/>
      </w:pPr>
      <w:r>
        <w:rPr>
          <w:sz w:val="24"/>
        </w:rPr>
        <w:t xml:space="preserve">2.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бенефициарах, а также основание их участия в отношениях по договору номинального счета.</w:t>
      </w:r>
    </w:p>
    <w:p>
      <w:pPr>
        <w:spacing w:after="120"/>
        <w:ind w:firstLine="709"/>
      </w:pPr>
      <w:r>
        <w:rPr>
          <w:sz w:val="24"/>
        </w:rPr>
        <w:t xml:space="preserve">3.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порядке, которые предусмотрены законом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</dc:title>
  <dc:creator>АРБИТРАЖ! · arbi.ru</dc:creator>
  <cp:lastModifiedBy>АРБИТРАЖ!</cp:lastModifiedBy>
  <dcterms:created xsi:type="dcterms:W3CDTF">2026-10-22T19:07:17.782Z</dcterms:created>
</cp:coreProperties>
</file>