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860.2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44. Банковский вклад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26.07.2017 N 212-ФЗ)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Договор номинального счета заключается в письменной форме путем составления одного документа (в том числе электронного), подписанного сторонами, с обязательным указанием даты его заключения или обмена электронными документами либо иными данными в соответствии с правилами абзаца второго пункта 1 статьи 160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(п. 1 в ред. Федерального закона от 18.03.2019 N 34-ФЗ)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Договор номинального счета может быть заключен как с участием, так и без участия бенефициара. Договор номинального счета с участием бенефициара подписывается также бенефициаром.</w:t>
      </w:r>
    </w:p>
    <w:p>
      <w:pPr>
        <w:spacing w:after="120"/>
        <w:ind w:firstLine="709"/>
      </w:pPr>
      <w:r>
        <w:rPr>
          <w:sz w:val="24"/>
        </w:rPr>
        <w:t xml:space="preserve">3. Несоблюдение формы договора номинального счета влечет его недействительность. Такой договор является ничтожным.</w:t>
      </w:r>
    </w:p>
    <w:p>
      <w:pPr>
        <w:spacing w:after="120"/>
        <w:ind w:firstLine="709"/>
      </w:pPr>
      <w:r>
        <w:rPr>
          <w:sz w:val="24"/>
        </w:rPr>
        <w:t xml:space="preserve">4. В случае, если на номинальном счете учитываются денежные средства нескольких бенефициаров, банк ведет учет денежных средств каждого бенефициара, за исключением случаев, когда в соответствии с законом или договором номинального счета обязанность по учету денежных средств каждого бенефициара возложена на владельца счета.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860.2</dc:title>
  <dc:creator>АРБИТРАЖ! · arbi.ru</dc:creator>
  <cp:lastModifiedBy>АРБИТРАЖ!</cp:lastModifiedBy>
  <dcterms:created xsi:type="dcterms:W3CDTF">2026-10-22T22:04:07.929Z</dcterms:created>
</cp:coreProperties>
</file>