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Бенефициар по договору номинального счета вправе требовать от банка предоставления сведений, составляющих банковскую тайну, если такое право предоставлено бенефициару договором.</w:t>
      </w:r>
    </w:p>
    <w:p>
      <w:pPr>
        <w:spacing w:after="120"/>
        <w:ind w:firstLine="709"/>
      </w:pPr>
      <w:r>
        <w:rPr>
          <w:sz w:val="24"/>
        </w:rPr>
        <w:t xml:space="preserve">2. Бенефициар по договору номинального счета с участием бенефициара вправе требовать от банка предоставления сведений, составляющих банковскую тайну.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860.4</dc:title>
  <dc:creator>АРБИТРАЖ! · arbi.ru</dc:creator>
  <cp:lastModifiedBy>АРБИТРАЖ!</cp:lastModifiedBy>
  <dcterms:created xsi:type="dcterms:W3CDTF">2026-10-22T19:07:27.071Z</dcterms:created>
</cp:coreProperties>
</file>