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Бенефициар по договору номинального счета вправе требовать от банка предоставления сведений, составляющих банковскую тайну, если такое право предоставлено бенефициару договором.</w:t>
      </w:r>
    </w:p>
    <w:p>
      <w:pPr>
        <w:spacing w:after="120"/>
        <w:ind w:firstLine="709"/>
      </w:pPr>
      <w:r>
        <w:rPr>
          <w:sz w:val="24"/>
        </w:rPr>
        <w:t xml:space="preserve">2. Бенефициар по договору номинального счета с участием бенефициара вправе требовать от банка предоставления сведений, составляющих банковскую тайну.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860.4</dc:title>
  <dc:creator>АРБИТРАЖ! · arbi.ru</dc:creator>
  <cp:lastModifiedBy>АРБИТРАЖ!</cp:lastModifiedBy>
  <dcterms:created xsi:type="dcterms:W3CDTF">2026-10-22T22:47:25.290Z</dcterms:created>
</cp:coreProperties>
</file>