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публичному депозитному счету на основании поручения (распоряжения)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лицу.</w:t>
      </w:r>
    </w:p>
    <w:p>
      <w:pPr>
        <w:spacing w:after="120"/>
        <w:ind w:firstLine="709"/>
      </w:pPr>
      <w:r>
        <w:rPr>
          <w:sz w:val="24"/>
        </w:rPr>
        <w:t xml:space="preserve">Совершение иных операций по публичному депозитному счету и кредитование счета (статья 850) не допускаются,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2.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3. Банк не несет ответственности перед бенефициаром и депонентом за совершение операций по публичному депозитному счету на основании поручения (распоряжения) владельца счета с нарушением установленных законом правил о депонировании, за исключением случая, когда банк не исполнил установленную в соответствии с законом обязанность по контролю за использованием денежных средств на счете.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860.12</dc:title>
  <dc:creator>АРБИТРАЖ! · arbi.ru</dc:creator>
  <cp:lastModifiedBy>АРБИТРАЖ!</cp:lastModifiedBy>
  <dcterms:created xsi:type="dcterms:W3CDTF">2026-10-22T20:23:54.729Z</dcterms:created>
</cp:coreProperties>
</file>