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862 ГК РФ</w:t>
      </w:r>
    </w:p>
    <w:p>
      <w:pPr>
        <w:spacing w:after="120"/>
        <w:ind w:firstLine="709"/>
      </w:pPr>
      <w:r>
        <w:rPr>
          <w:sz w:val="24"/>
        </w:rPr>
        <w:t xml:space="preserve">- Противоречат ли законодательству расчеты в безналичной форме с использованием векселей</w:t>
      </w:r>
    </w:p>
    <w:p>
      <w:pPr>
        <w:spacing w:after="120"/>
        <w:ind w:firstLine="709"/>
      </w:pPr>
      <w:r>
        <w:rPr>
          <w:sz w:val="24"/>
        </w:rPr>
        <w:t xml:space="preserve">1. Безналичные расчеты, за исключением расчетов цифровыми рублями, могут осуществляться в форме расчетов платежными поручениями, расчетов по аккредитиву, по инкассо, чеками, а также в иных формах, предусмотренных законом, банковскими правилами или применяемыми в банковской практике обычаями.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Расчеты цифровыми рублями могут осуществляться в формах, установленных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24.07.2023 N 339-ФЗ)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Стороны по договору вправе избрать и установить в договоре любую из форм расчетов, указанных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862</dc:title>
  <dc:creator>АРБИТРАЖ! · arbi.ru</dc:creator>
  <cp:lastModifiedBy>АРБИТРАЖ!</cp:lastModifiedBy>
  <dcterms:created xsi:type="dcterms:W3CDTF">2026-10-23T14:34:01.883Z</dcterms:created>
</cp:coreProperties>
</file>