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сроки, предусмотренные законом , если более короткий срок не предусмотрен договором банковского счета либо не определен применяемыми в банковской практике обычаями.</w:t>
      </w:r>
    </w:p>
    <w:p>
      <w:pPr>
        <w:spacing w:after="120"/>
        <w:ind w:firstLine="709"/>
      </w:pPr>
      <w:r>
        <w:rPr>
          <w:sz w:val="24"/>
        </w:rPr>
        <w:t xml:space="preserve">2. Порядок осуществления расчетов платежными поручениями регулируется законом, банковскими правилами, применяемыми в банковской практике обычаями или договором.</w:t>
      </w:r>
    </w:p>
    <w:p>
      <w:pPr>
        <w:spacing w:after="120"/>
        <w:ind w:firstLine="709"/>
      </w:pPr>
      <w:r>
        <w:rPr>
          <w:sz w:val="24"/>
        </w:rPr>
        <w:t xml:space="preserve">3. Банк плательщика вправе привлекать другие банки (банки-посредники) для исполнения платежного поручения плательщика.</w:t>
      </w:r>
    </w:p>
    <w:p>
      <w:pPr>
        <w:spacing w:after="120"/>
        <w:ind w:firstLine="709"/>
      </w:pPr>
      <w:r>
        <w:rPr>
          <w:sz w:val="24"/>
        </w:rPr>
        <w:t xml:space="preserve">4. Правила настоящего параграфа применяются к отношениям, связанным с осуществлением расчетов поручениями о переводе денежных средств без открытия банковского счета, с учетом особенностей, предусмотренных статьей 866.1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863</dc:title>
  <dc:creator>АРБИТРАЖ! · arbi.ru</dc:creator>
  <cp:lastModifiedBy>АРБИТРАЖ!</cp:lastModifiedBy>
  <dcterms:created xsi:type="dcterms:W3CDTF">2026-10-22T20:26:15.947Z</dcterms:created>
</cp:coreProperties>
</file>