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При переводе денежных средств без открытия банковского счета банк плательщика обязуется перевести без открытия банковского счета плательщику-гражданину на основании его распоряжения предоставленные им наличные денежные средства получателю средств в этом или ином банке.</w:t>
      </w:r>
    </w:p>
    <w:p>
      <w:pPr>
        <w:spacing w:after="120"/>
        <w:ind w:firstLine="709"/>
      </w:pPr>
      <w:r>
        <w:rPr>
          <w:sz w:val="24"/>
        </w:rPr>
        <w:t xml:space="preserve">2.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средств.</w:t>
      </w:r>
    </w:p>
    <w:p/>
    <w:p>
      <w:pPr>
        <w:spacing w:after="120"/>
        <w:ind w:firstLine="709"/>
      </w:pPr>
      <w:r>
        <w:rPr>
          <w:sz w:val="24"/>
        </w:rPr>
        <w:t xml:space="preserve">§ 3. Расчеты по аккредитиву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866.1</dc:title>
  <dc:creator>АРБИТРАЖ! · arbi.ru</dc:creator>
  <cp:lastModifiedBy>АРБИТРАЖ!</cp:lastModifiedBy>
  <dcterms:created xsi:type="dcterms:W3CDTF">2026-10-22T19:07:00.966Z</dcterms:created>
</cp:coreProperties>
</file>