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Отзывный аккредитив может быть изменен или отменен по поручению плательщика банком-эмитентом в любой момент без предварительного уведомления получателя средств.</w:t>
      </w:r>
    </w:p>
    <w:p>
      <w:pPr>
        <w:spacing w:after="120"/>
        <w:ind w:firstLine="709"/>
      </w:pPr>
      <w:r>
        <w:rPr>
          <w:sz w:val="24"/>
        </w:rPr>
        <w:t xml:space="preserve">2. Исполняющий банк осуществляет платеж или иные операции по отзывному аккредитиву, если к моменту их совершения им не получено уведомление банка-эмитента об изменении или отмене аккредитива.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868</dc:title>
  <dc:creator>АРБИТРАЖ! · arbi.ru</dc:creator>
  <cp:lastModifiedBy>АРБИТРАЖ!</cp:lastModifiedBy>
  <dcterms:created xsi:type="dcterms:W3CDTF">2026-10-22T22:04:34.350Z</dcterms:created>
</cp:coreProperties>
</file>