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Безотзывный аккредитив не может быть отменен банком-эмитентом без согласия получателя средств и банка, подтвердившего аккредитив. Безотзывный аккредитив не может быть изменен банком-эмитентом без согласия получателя средств.</w:t>
      </w:r>
    </w:p>
    <w:p>
      <w:pPr>
        <w:spacing w:after="120"/>
        <w:ind w:firstLine="709"/>
      </w:pPr>
      <w:r>
        <w:rPr>
          <w:sz w:val="24"/>
        </w:rPr>
        <w:t xml:space="preserve">2. Для изменения или отмены безотзывного аккредитива по поручению плательщика банк-эмитент должен направить получателю средств соответствующее уведомление. Аккредитив считается отмененным или измененным с момента получения банком-эмитентом согласия получателя средств.</w:t>
      </w:r>
    </w:p>
    <w:p>
      <w:pPr>
        <w:spacing w:after="120"/>
        <w:ind w:firstLine="709"/>
      </w:pPr>
      <w:r>
        <w:rPr>
          <w:sz w:val="24"/>
        </w:rPr>
        <w:t xml:space="preserve">3. Если аккредитив был подтвержден другим банком (статья 870) , такой банк вправе не согласиться с изменением безотзывного аккредитива, при этом он обязан незамедлительно сообщить об этом банку-эмитенту и получателю средств.</w:t>
      </w:r>
    </w:p>
    <w:p>
      <w:pPr>
        <w:spacing w:after="120"/>
        <w:ind w:firstLine="709"/>
      </w:pPr>
      <w:r>
        <w:rPr>
          <w:sz w:val="24"/>
        </w:rPr>
        <w:t xml:space="preserve">4. Аккредитив является безотзывным, если в его тексте не предусмотрено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869</dc:title>
  <dc:creator>АРБИТРАЖ! · arbi.ru</dc:creator>
  <cp:lastModifiedBy>АРБИТРАЖ!</cp:lastModifiedBy>
  <dcterms:created xsi:type="dcterms:W3CDTF">2026-10-22T22:05:25.719Z</dcterms:created>
</cp:coreProperties>
</file>