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871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Исполнение аккредитива может быть произведено путем:</w:t>
      </w:r>
    </w:p>
    <w:p>
      <w:pPr>
        <w:spacing w:after="120"/>
        <w:ind w:firstLine="709"/>
      </w:pPr>
      <w:r>
        <w:rPr>
          <w:sz w:val="24"/>
        </w:rPr>
        <w:t xml:space="preserve">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pPr>
        <w:spacing w:after="120"/>
        <w:ind w:firstLine="709"/>
      </w:pPr>
      <w:r>
        <w:rPr>
          <w:sz w:val="24"/>
        </w:rPr>
        <w:t xml:space="preserve">2) акцепта переводного векселя с его оплатой по наступлении срока платежа;</w:t>
      </w:r>
    </w:p>
    <w:p>
      <w:pPr>
        <w:spacing w:after="120"/>
        <w:ind w:firstLine="709"/>
      </w:pPr>
      <w:r>
        <w:rPr>
          <w:sz w:val="24"/>
        </w:rPr>
        <w:t xml:space="preserve">3) иными способами, указанными в аккредитиве.</w:t>
      </w:r>
    </w:p>
    <w:p>
      <w:pPr>
        <w:spacing w:after="120"/>
        <w:ind w:firstLine="709"/>
      </w:pPr>
      <w:r>
        <w:rPr>
          <w:sz w:val="24"/>
        </w:rP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pPr>
        <w:spacing w:after="120"/>
        <w:ind w:firstLine="709"/>
      </w:pPr>
      <w:r>
        <w:rPr>
          <w:sz w:val="24"/>
        </w:rPr>
        <w:t xml:space="preserve">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pPr>
        <w:spacing w:after="120"/>
        <w:ind w:firstLine="709"/>
      </w:pPr>
      <w:r>
        <w:rPr>
          <w:sz w:val="24"/>
        </w:rPr>
        <w:t xml:space="preserve">4. Проверка представленных документов осуществляется банком по внешним признакам.</w:t>
      </w:r>
    </w:p>
    <w:p>
      <w:pPr>
        <w:spacing w:after="120"/>
        <w:ind w:firstLine="709"/>
      </w:pPr>
      <w:r>
        <w:rPr>
          <w:sz w:val="24"/>
        </w:rPr>
        <w:t xml:space="preserve">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pPr>
        <w:spacing w:after="120"/>
        <w:ind w:firstLine="709"/>
      </w:pPr>
      <w:r>
        <w:rPr>
          <w:sz w:val="24"/>
        </w:rPr>
        <w:t xml:space="preserve">5. В случае открытия покрытого (депонированного) аккредитива исполняющий банк исполняет аккредитив за счет покрытия по такому аккредитиву.</w:t>
      </w:r>
    </w:p>
    <w:p>
      <w:pPr>
        <w:spacing w:after="120"/>
        <w:ind w:firstLine="709"/>
      </w:pPr>
      <w:r>
        <w:rPr>
          <w:sz w:val="24"/>
        </w:rPr>
        <w:t xml:space="preserve">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pPr>
        <w:spacing w:after="120"/>
        <w:ind w:firstLine="709"/>
      </w:pPr>
      <w:r>
        <w:rPr>
          <w:sz w:val="24"/>
        </w:rPr>
        <w:t xml:space="preserve">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pPr>
        <w:spacing w:after="120"/>
        <w:ind w:firstLine="709"/>
      </w:pPr>
      <w:r>
        <w:rPr>
          <w:sz w:val="24"/>
        </w:rPr>
        <w:t xml:space="preserve">7. Получатель средств не вправе уступить полностью или частично право (требование) по аккредитиву, если иное не предусмотрено условиями аккредитива.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871</dc:title>
  <dc:creator>АРБИТРАЖ! · arbi.ru</dc:creator>
  <cp:lastModifiedBy>АРБИТРАЖ!</cp:lastModifiedBy>
  <dcterms:created xsi:type="dcterms:W3CDTF">2026-10-22T16:46:25.891Z</dcterms:created>
</cp:coreProperties>
</file>