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875 ГК РФ</w:t>
      </w:r>
    </w:p>
    <w:p>
      <w:pPr>
        <w:spacing w:after="120"/>
        <w:ind w:firstLine="709"/>
      </w:pPr>
      <w:r>
        <w:rPr>
          <w:sz w:val="24"/>
        </w:rPr>
        <w:t xml:space="preserve">- Грозит ли ответственность банку, не исполнившему инкассовое поручение лица, в отношении которого прекращена процедура банкротства</w:t>
      </w:r>
    </w:p>
    <w:p>
      <w:pPr>
        <w:spacing w:after="120"/>
        <w:ind w:firstLine="709"/>
      </w:pPr>
      <w:r>
        <w:rPr>
          <w:sz w:val="24"/>
        </w:rPr>
        <w:t xml:space="preserve">1. При отсутствии какого-либо документа или несоответствии документов по внешним признакам инкассовому поручению исполняющий банк обязан немедленно известить об этом лицо, от которого было получено инкассовое поручение. В случае неустранения указанных недостатков банк вправе возвратить документы без исполнения.</w:t>
      </w:r>
    </w:p>
    <w:p>
      <w:pPr>
        <w:spacing w:after="120"/>
        <w:ind w:firstLine="709"/>
      </w:pPr>
      <w:r>
        <w:rPr>
          <w:sz w:val="24"/>
        </w:rPr>
        <w:t xml:space="preserve">2. Документы представляются плательщику в той форме, в которой они получены, за исключением отметок и надписей банков, необходимых для оформления инкассовой операции.</w:t>
      </w:r>
    </w:p>
    <w:p>
      <w:pPr>
        <w:spacing w:after="120"/>
        <w:ind w:firstLine="709"/>
      </w:pPr>
      <w:r>
        <w:rPr>
          <w:sz w:val="24"/>
        </w:rPr>
        <w:t xml:space="preserve">3. Если документы подлежат оплате по предъявлении, исполняющий банк должен сделать представление к платежу немедленно по получении инкассового поручения.</w:t>
      </w:r>
    </w:p>
    <w:p>
      <w:pPr>
        <w:spacing w:after="120"/>
        <w:ind w:firstLine="709"/>
      </w:pPr>
      <w:r>
        <w:rPr>
          <w:sz w:val="24"/>
        </w:rPr>
        <w:t xml:space="preserve">Если документы подлежат оплате в иной срок, исполняющий банк должен для получения акцепта плательщика представить документы к акцепту немедленно по получении инкассового поручения, а требование платежа должно быть сделано не позднее дня наступления указанного в документе срока платежа.</w:t>
      </w:r>
    </w:p>
    <w:p>
      <w:pPr>
        <w:spacing w:after="120"/>
        <w:ind w:firstLine="709"/>
      </w:pPr>
      <w:r>
        <w:rPr>
          <w:sz w:val="24"/>
        </w:rPr>
        <w:t xml:space="preserve">4. Частичные платежи могут быть приняты в случаях, когда это установлено банковскими правилами , либо при наличии специального разрешения в инкассовом поручении.</w:t>
      </w:r>
    </w:p>
    <w:p>
      <w:pPr>
        <w:spacing w:after="120"/>
        <w:ind w:firstLine="709"/>
      </w:pPr>
      <w:r>
        <w:rPr>
          <w:sz w:val="24"/>
        </w:rPr>
        <w:t xml:space="preserve">5. Полученные (инкассированные) суммы должны быть перечислены исполняющим банком банку-эмитенту, который обязан зачислить эти суммы на банковский счет клиента. Исполняющий банк вправе удержать из инкассированных сумм причитающиеся ему вознаграждение и возмещение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875</dc:title>
  <dc:creator>АРБИТРАЖ! · arbi.ru</dc:creator>
  <cp:lastModifiedBy>АРБИТРАЖ!</cp:lastModifiedBy>
  <dcterms:created xsi:type="dcterms:W3CDTF">2026-10-22T20:23:46.703Z</dcterms:created>
</cp:coreProperties>
</file>