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879 ГК РФ</w:t>
      </w:r>
    </w:p>
    <w:p>
      <w:pPr>
        <w:spacing w:after="120"/>
        <w:ind w:firstLine="709"/>
      </w:pPr>
      <w:r>
        <w:rPr>
          <w:sz w:val="24"/>
        </w:rPr>
        <w:t xml:space="preserve">- Отвечает ли банк за выдачу денег по подложному чеку, если не мог установить, что распоряжение поступило от неуполномоченного лица</w:t>
      </w:r>
    </w:p>
    <w:p>
      <w:pPr>
        <w:spacing w:after="120"/>
        <w:ind w:firstLine="709"/>
      </w:pPr>
      <w:r>
        <w:rPr>
          <w:sz w:val="24"/>
        </w:rPr>
        <w:t xml:space="preserve">- Отвечает ли банк за оплату подложного чека</w:t>
      </w:r>
    </w:p>
    <w:p>
      <w:pPr>
        <w:spacing w:after="120"/>
        <w:ind w:firstLine="709"/>
      </w:pPr>
      <w:r>
        <w:rPr>
          <w:sz w:val="24"/>
        </w:rPr>
        <w:t xml:space="preserve">1. Чек оплачивается за счет средств чекодателя.</w:t>
      </w:r>
    </w:p>
    <w:p>
      <w:pPr>
        <w:spacing w:after="120"/>
        <w:ind w:firstLine="709"/>
      </w:pPr>
      <w:r>
        <w:rPr>
          <w:sz w:val="24"/>
        </w:rPr>
        <w:t xml:space="preserve">В случае депонирования средств порядок и условия депонирования средств для покрытия чека устанавливаются банковскими правилами.</w:t>
      </w:r>
    </w:p>
    <w:p>
      <w:pPr>
        <w:spacing w:after="120"/>
        <w:ind w:firstLine="709"/>
      </w:pPr>
      <w:r>
        <w:rPr>
          <w:sz w:val="24"/>
        </w:rPr>
        <w:t xml:space="preserve">2. Чек подлежит оплате плательщиком при условии предъявления его к оплате в срок, установленный законом.</w:t>
      </w:r>
    </w:p>
    <w:p>
      <w:pPr>
        <w:spacing w:after="120"/>
        <w:ind w:firstLine="709"/>
      </w:pPr>
      <w:r>
        <w:rPr>
          <w:sz w:val="24"/>
        </w:rPr>
        <w:t xml:space="preserve">3. Плательщик по чеку обязан удостовериться всеми доступными ему способами в подлинности чека, а также в том, что предъявитель чека является уполномоченным по нему лицом.</w:t>
      </w:r>
    </w:p>
    <w:p>
      <w:pPr>
        <w:spacing w:after="120"/>
        <w:ind w:firstLine="709"/>
      </w:pPr>
      <w:r>
        <w:rPr>
          <w:sz w:val="24"/>
        </w:rPr>
        <w:t xml:space="preserve">При оплате индоссированного чека плательщик обязан проверить правильность индоссаментов, но не подписи индоссантов.</w:t>
      </w:r>
    </w:p>
    <w:p>
      <w:pPr>
        <w:spacing w:after="120"/>
        <w:ind w:firstLine="709"/>
      </w:pPr>
      <w:r>
        <w:rPr>
          <w:sz w:val="24"/>
        </w:rPr>
        <w:t xml:space="preserve">4. Убытки, возникшие вследствие оплаты плательщиком подложного, похищенного или утраченного чека, возлагаются на плательщика или чекодателя в зависимости от того, по чьей вине они были причинены.</w:t>
      </w:r>
    </w:p>
    <w:p>
      <w:pPr>
        <w:spacing w:after="120"/>
        <w:ind w:firstLine="709"/>
      </w:pPr>
      <w:r>
        <w:rPr>
          <w:sz w:val="24"/>
        </w:rPr>
        <w:t xml:space="preserve">5. Лицо, оплатившее чек, вправе потребовать передачи ему чека с распиской в получении платежа.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879</dc:title>
  <dc:creator>АРБИТРАЖ! · arbi.ru</dc:creator>
  <cp:lastModifiedBy>АРБИТРАЖ!</cp:lastModifiedBy>
  <dcterms:created xsi:type="dcterms:W3CDTF">2026-10-22T22:36:29.599Z</dcterms:created>
</cp:coreProperties>
</file>