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Передача прав по чеку производится в порядке, установленном статьей 146 настоящего Кодекса, с соблюдением правил,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Именной чек не подлежит передаче.</w:t>
      </w:r>
    </w:p>
    <w:p>
      <w:pPr>
        <w:spacing w:after="120"/>
        <w:ind w:firstLine="709"/>
      </w:pPr>
      <w:r>
        <w:rPr>
          <w:sz w:val="24"/>
        </w:rPr>
        <w:t xml:space="preserve">3. В переводном чеке индоссамент на плательщика имеет силу расписки за получение платежа.</w:t>
      </w:r>
    </w:p>
    <w:p>
      <w:pPr>
        <w:spacing w:after="120"/>
        <w:ind w:firstLine="709"/>
      </w:pPr>
      <w:r>
        <w:rPr>
          <w:sz w:val="24"/>
        </w:rPr>
        <w:t xml:space="preserve">Индоссамент, совершенный плательщиком, является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Лицо, владеющее переводным чеком, полученным по индоссаменту, считается его законным владельцем, если оно основывает свое право на непрерывном ряде индоссаментов.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880</dc:title>
  <dc:creator>АРБИТРАЖ! · arbi.ru</dc:creator>
  <cp:lastModifiedBy>АРБИТРАЖ!</cp:lastModifiedBy>
  <dcterms:created xsi:type="dcterms:W3CDTF">2026-10-22T20:56:26.867Z</dcterms:created>
</cp:coreProperties>
</file>