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882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Представление чека в банк, обслуживающий чекодержателя, на инкассо для получения платежа считается предъявлением чека к платежу.</w:t>
      </w:r>
    </w:p>
    <w:p>
      <w:pPr>
        <w:spacing w:after="120"/>
        <w:ind w:firstLine="709"/>
      </w:pPr>
      <w:r>
        <w:rPr>
          <w:sz w:val="24"/>
        </w:rPr>
        <w:t xml:space="preserve">Оплата чека производится в порядке, установленном статьей 875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Зачисление средств по инкассированному чеку на счет чекодержателя производится после получения платежа от плательщика, если иное не предусмотрено договором между чекодержателем и банком.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882</dc:title>
  <dc:creator>АРБИТРАЖ! · arbi.ru</dc:creator>
  <cp:lastModifiedBy>АРБИТРАЖ!</cp:lastModifiedBy>
  <dcterms:created xsi:type="dcterms:W3CDTF">2026-10-22T22:35:10.532Z</dcterms:created>
</cp:coreProperties>
</file>