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887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887 ГК РФ</w:t>
      </w:r>
    </w:p>
    <w:p>
      <w:pPr>
        <w:spacing w:after="120"/>
        <w:ind w:firstLine="709"/>
      </w:pPr>
      <w:r>
        <w:rPr>
          <w:sz w:val="24"/>
        </w:rPr>
        <w:t xml:space="preserve">- Можно ли подтвердить отношения по хранению товарными накладными, если договор хранения признан незаключенным или отсутствовал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887 ГК РФ</w:t>
      </w:r>
    </w:p>
    <w:p>
      <w:pPr>
        <w:spacing w:after="120"/>
        <w:ind w:firstLine="709"/>
      </w:pPr>
      <w:r>
        <w:rPr>
          <w:sz w:val="24"/>
        </w:rPr>
        <w:t xml:space="preserve">1. Договор хранения должен быть заключен в письменной форме в случаях, указанных в статье 161 настоящего Кодекса. При этом для договора хранения между гражданами (подпункт 2 пункта 1 статьи 161) соблюдение письменной формы требуется, если стоимость передаваемой на хранение вещи превышает десять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09.03.2021 N 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Договор хранения, предусматривающий обязанность хранителя принять вещь на хранение, должен быть заключен в письменной форме независимо от состава участников этого договора и стоимости вещи, передаваемой на хранение.</w:t>
      </w:r>
    </w:p>
    <w:p>
      <w:pPr>
        <w:spacing w:after="120"/>
        <w:ind w:firstLine="709"/>
      </w:pPr>
      <w:r>
        <w:rPr>
          <w:sz w:val="24"/>
        </w:rPr>
        <w:t xml:space="preserve">Передача вещи на хранение при чрезвычайных обстоятельствах (пожаре, стихийном бедствии, внезапной болезни, угрозе нападения и т.п.) может быть доказываема свидетельскими показаниями.</w:t>
      </w:r>
    </w:p>
    <w:p>
      <w:pPr>
        <w:spacing w:after="120"/>
        <w:ind w:firstLine="709"/>
      </w:pPr>
      <w:r>
        <w:rPr>
          <w:sz w:val="24"/>
        </w:rPr>
        <w:t xml:space="preserve">2. Простая письменная форма договора хранения считается соблюденной, если принятие вещи на хранение удостоверено хранителем выдачей поклажедателю:</w:t>
      </w:r>
    </w:p>
    <w:p>
      <w:pPr>
        <w:spacing w:after="120"/>
        <w:ind w:firstLine="709"/>
      </w:pPr>
      <w:r>
        <w:rPr>
          <w:sz w:val="24"/>
        </w:rPr>
        <w:t xml:space="preserve">сохранной расписки, квитанции, свидетельства или иного документа, подписанного хранителем;</w:t>
      </w:r>
    </w:p>
    <w:p>
      <w:pPr>
        <w:spacing w:after="120"/>
        <w:ind w:firstLine="709"/>
      </w:pPr>
      <w:r>
        <w:rPr>
          <w:sz w:val="24"/>
        </w:rPr>
        <w:t xml:space="preserve">номерного жетона (номера), иного знака, удостоверяющего прием вещей на хранение, если такая форма подтверждения приема вещей на хранение предусмотрена законом или иным правовым актом либо обычна для данного вида хранения.</w:t>
      </w:r>
    </w:p>
    <w:p>
      <w:pPr>
        <w:spacing w:after="120"/>
        <w:ind w:firstLine="709"/>
      </w:pPr>
      <w:r>
        <w:rPr>
          <w:sz w:val="24"/>
        </w:rPr>
        <w:t xml:space="preserve">3. Несоблюдение простой письменной формы договора хранения не лишает стороны права ссылаться на свидетельские показания в случае спора о тождестве вещи, принятой на хранение, и вещи, возвращенной хранителем.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887</dc:title>
  <dc:creator>АРБИТРАЖ! · arbi.ru</dc:creator>
  <cp:lastModifiedBy>АРБИТРАЖ!</cp:lastModifiedBy>
  <dcterms:created xsi:type="dcterms:W3CDTF">2026-10-22T20:23:27.460Z</dcterms:created>
</cp:coreProperties>
</file>