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889</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44. Банковский вклад</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889 ГК РФ</w:t>
      </w:r>
    </w:p>
    <w:p>
      <w:pPr>
        <w:spacing w:after="120"/>
        <w:ind w:firstLine="709"/>
      </w:pPr>
      <w:r>
        <w:rPr>
          <w:sz w:val="24"/>
        </w:rPr>
        <w:t xml:space="preserve">Арбитражные споры:</w:t>
      </w:r>
    </w:p>
    <w:p>
      <w:pPr>
        <w:spacing w:after="120"/>
        <w:ind w:firstLine="709"/>
      </w:pPr>
      <w:r>
        <w:rPr>
          <w:sz w:val="24"/>
        </w:rPr>
        <w:t xml:space="preserve">- Хранитель хочет взыскать оплату за хранение имущества после истечения срока хранения (срока действия контракта для государственных и муниципальных нужд)</w:t>
      </w:r>
    </w:p>
    <w:p>
      <w:pPr>
        <w:spacing w:after="120"/>
        <w:ind w:firstLine="709"/>
      </w:pPr>
      <w:r>
        <w:rPr>
          <w:sz w:val="24"/>
        </w:rPr>
        <w:t xml:space="preserve">- Хранитель хочет обязать поклажедателя забрать имущество, переданное на хранение для государственных и муниципальных нужд</w:t>
      </w:r>
    </w:p>
    <w:p>
      <w:pPr>
        <w:spacing w:after="120"/>
        <w:ind w:firstLine="709"/>
      </w:pPr>
      <w:r>
        <w:rPr>
          <w:sz w:val="24"/>
        </w:rPr>
        <w:t xml:space="preserve">Споры в суде общей юрисдикции:</w:t>
      </w:r>
    </w:p>
    <w:p>
      <w:pPr>
        <w:spacing w:after="120"/>
        <w:ind w:firstLine="709"/>
      </w:pPr>
      <w:r>
        <w:rPr>
          <w:sz w:val="24"/>
        </w:rPr>
        <w:t xml:space="preserve">- Хранитель хочет обязать ответчика забрать имущество</w:t>
      </w:r>
    </w:p>
    <w:p>
      <w:pPr>
        <w:spacing w:after="120"/>
        <w:ind w:firstLine="709"/>
      </w:pPr>
      <w:r>
        <w:rPr>
          <w:sz w:val="24"/>
        </w:rPr>
        <w:t xml:space="preserve">1. Хранитель обязан хранить вещь в течение обусловленного договором хранения срока.</w:t>
      </w:r>
    </w:p>
    <w:p>
      <w:pPr>
        <w:spacing w:after="120"/>
        <w:ind w:firstLine="709"/>
      </w:pPr>
      <w:r>
        <w:rPr>
          <w:sz w:val="24"/>
        </w:rPr>
        <w:t xml:space="preserve">2. Если срок хранения договором не предусмотрен и не может быть определен исходя из его условий, хранитель обязан хранить вещь до востребования ее поклажедателем.</w:t>
      </w:r>
    </w:p>
    <w:p>
      <w:pPr>
        <w:spacing w:after="120"/>
        <w:ind w:firstLine="709"/>
      </w:pPr>
      <w:r>
        <w:rPr>
          <w:sz w:val="24"/>
        </w:rPr>
        <w:t xml:space="preserve">3. Если срок хранения определен моментом востребования вещи поклажедателем, хранитель вправе по истечении обычного при данных обстоятельствах срока хранения вещи потребовать от поклажедателя взять обратно вещь, предоставив ему для этого разумный срок. Неисполнение поклажедателем этой обязанности влечет последствия, предусмотренные статьей 899 настоящего Кодекса.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889</dc:title>
  <dc:creator>АРБИТРАЖ! · arbi.ru</dc:creator>
  <cp:lastModifiedBy>АРБИТРАЖ!</cp:lastModifiedBy>
  <dcterms:created xsi:type="dcterms:W3CDTF">2026-10-22T23:30:29.135Z</dcterms:created>
</cp:coreProperties>
</file>