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890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890 ГК РФ</w:t>
      </w:r>
    </w:p>
    <w:p>
      <w:pPr>
        <w:spacing w:after="120"/>
        <w:ind w:firstLine="709"/>
      </w:pPr>
      <w:r>
        <w:rPr>
          <w:sz w:val="24"/>
        </w:rPr>
        <w:t xml:space="preserve">- Можно ли определять предмет в договоре хранения с обезличением путем указания рода и качества передаваемых вещей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890 ГК РФ</w:t>
      </w:r>
    </w:p>
    <w:p>
      <w:pPr>
        <w:spacing w:after="120"/>
        <w:ind w:firstLine="709"/>
      </w:pPr>
      <w:r>
        <w:rPr>
          <w:sz w:val="24"/>
        </w:rPr>
        <w:t xml:space="preserve">В случаях, прямо предусмотренных договором хранения, принятые на хранение вещи одного поклажедателя могут смешиваться с вещами того же рода и качества других поклажедателей (хранение с обезличением). Поклажедателю возвращается равное или обусловленное сторонами количество вещей того же рода и качества.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890</dc:title>
  <dc:creator>АРБИТРАЖ! · arbi.ru</dc:creator>
  <cp:lastModifiedBy>АРБИТРАЖ!</cp:lastModifiedBy>
  <dcterms:created xsi:type="dcterms:W3CDTF">2026-10-22T07:04:22.091Z</dcterms:created>
</cp:coreProperties>
</file>