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892 ГК РФ</w:t>
      </w:r>
    </w:p>
    <w:p>
      <w:pPr>
        <w:spacing w:after="120"/>
        <w:ind w:firstLine="709"/>
      </w:pPr>
      <w:r>
        <w:rPr>
          <w:sz w:val="24"/>
        </w:rPr>
        <w:t xml:space="preserve">- Можно ли в договоре хранения предусмотреть размер компенсации за пользование имуществом</w:t>
      </w:r>
    </w:p>
    <w:p>
      <w:pPr>
        <w:spacing w:after="120"/>
        <w:ind w:firstLine="709"/>
      </w:pPr>
      <w:r>
        <w:rPr>
          <w:sz w:val="24"/>
        </w:rPr>
        <w:t xml:space="preserve">Хранитель не вправе без согласия поклажедателя пользоваться переданной на хранение вещью, а равно предоставлять возможность пользования ею третьим лицам, за исключением случая, когда пользование хранимой вещью необходимо для обеспечения ее сохранности и не противоречит договору хранения.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892</dc:title>
  <dc:creator>АРБИТРАЖ! · arbi.ru</dc:creator>
  <cp:lastModifiedBy>АРБИТРАЖ!</cp:lastModifiedBy>
  <dcterms:created xsi:type="dcterms:W3CDTF">2026-10-22T13:35:12.830Z</dcterms:created>
</cp:coreProperties>
</file>