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895 ГК РФ</w:t>
      </w:r>
    </w:p>
    <w:p>
      <w:pPr>
        <w:spacing w:after="120"/>
        <w:ind w:firstLine="709"/>
      </w:pPr>
      <w:r>
        <w:rPr>
          <w:sz w:val="24"/>
        </w:rPr>
        <w:t xml:space="preserve">- Можно ли взыскать убытки с госоргана в случае утраты изъятого им и переданного по договору хранения третьему лицу имущества</w:t>
      </w:r>
    </w:p>
    <w:p>
      <w:pPr>
        <w:spacing w:after="120"/>
        <w:ind w:firstLine="709"/>
      </w:pPr>
      <w:r>
        <w:rPr>
          <w:sz w:val="24"/>
        </w:rPr>
        <w:t xml:space="preserve">- Правомерна ли передача по договору хранения задержанных автотранспортных средств и вещественных доказательств третьему лицу без согласия их владельцев</w:t>
      </w:r>
    </w:p>
    <w:p>
      <w:pPr>
        <w:spacing w:after="120"/>
        <w:ind w:firstLine="709"/>
      </w:pPr>
      <w:r>
        <w:rPr>
          <w:sz w:val="24"/>
        </w:rPr>
        <w:t xml:space="preserve">- Действителен ли договор хранения, если вещь передана третьему лицу без согласия поклажедателя</w:t>
      </w:r>
    </w:p>
    <w:p>
      <w:pPr>
        <w:spacing w:after="120"/>
        <w:ind w:firstLine="709"/>
      </w:pPr>
      <w:r>
        <w:rPr>
          <w:sz w:val="24"/>
        </w:rPr>
        <w:t xml:space="preserve">Если договором хранения не предусмотрено иное, хранитель не вправе без согласия поклажедателя передавать вещь на хранение третьему лицу, за исключением случаев, когда он вынужден к этому силою обстоятельств в интересах поклажедателя и лишен возможности получить его согласие.</w:t>
      </w:r>
    </w:p>
    <w:p>
      <w:pPr>
        <w:spacing w:after="120"/>
        <w:ind w:firstLine="709"/>
      </w:pPr>
      <w:r>
        <w:rPr>
          <w:sz w:val="24"/>
        </w:rPr>
        <w:t xml:space="preserve">О передаче вещи на хранение третьему лицу хранитель обязан незамедлительно уведомить поклажедателя.</w:t>
      </w:r>
    </w:p>
    <w:p>
      <w:pPr>
        <w:spacing w:after="120"/>
        <w:ind w:firstLine="709"/>
      </w:pPr>
      <w:r>
        <w:rPr>
          <w:sz w:val="24"/>
        </w:rPr>
        <w:t xml:space="preserve">При передаче вещи на хранение третьему лицу условия договора между поклажедателем и первоначальным хранителем сохраняют силу и последний отвечает за действия третьего лица, которому он передал вещь на хранение, как за свои собственные.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895</dc:title>
  <dc:creator>АРБИТРАЖ! · arbi.ru</dc:creator>
  <cp:lastModifiedBy>АРБИТРАЖ!</cp:lastModifiedBy>
  <dcterms:created xsi:type="dcterms:W3CDTF">2026-10-22T11:22:52.786Z</dcterms:created>
</cp:coreProperties>
</file>