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897 ГК РФ</w:t>
      </w:r>
    </w:p>
    <w:p>
      <w:pPr>
        <w:spacing w:after="120"/>
        <w:ind w:firstLine="709"/>
      </w:pPr>
      <w:r>
        <w:rPr>
          <w:sz w:val="24"/>
        </w:rPr>
        <w:t xml:space="preserve">- Должен ли хранитель доказать, что расходы по договору хранения он понес именно в отношении имущества поклажедателя</w:t>
      </w:r>
    </w:p>
    <w:p>
      <w:pPr>
        <w:spacing w:after="120"/>
        <w:ind w:firstLine="709"/>
      </w:pPr>
      <w:r>
        <w:rPr>
          <w:sz w:val="24"/>
        </w:rPr>
        <w:t xml:space="preserve">- Имеет ли право на компенсацию расходов ответственный хранитель вещей, переданных ему судебными приставами, при отсутствии заключенного договора хранения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897 ГК РФ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хранения, расходы хранителя на хранение вещи включаются в вознаграждение за хранение.</w:t>
      </w:r>
    </w:p>
    <w:p>
      <w:pPr>
        <w:spacing w:after="120"/>
        <w:ind w:firstLine="709"/>
      </w:pPr>
      <w:r>
        <w:rPr>
          <w:sz w:val="24"/>
        </w:rPr>
        <w:t xml:space="preserve">2. При безвозмездном хранении поклажедатель обязан возместить хранителю произведенные им необходимые расходы на хранение вещи, если законом или договором хранения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897</dc:title>
  <dc:creator>АРБИТРАЖ! · arbi.ru</dc:creator>
  <cp:lastModifiedBy>АРБИТРАЖ!</cp:lastModifiedBy>
  <dcterms:created xsi:type="dcterms:W3CDTF">2026-10-23T00:43:20.047Z</dcterms:created>
</cp:coreProperties>
</file>