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902 ГК РФ</w:t>
      </w:r>
    </w:p>
    <w:p>
      <w:pPr>
        <w:spacing w:after="120"/>
        <w:ind w:firstLine="709"/>
      </w:pPr>
      <w:r>
        <w:rPr>
          <w:sz w:val="24"/>
        </w:rPr>
        <w:t xml:space="preserve">- Можно ли стоимость утраченных вещей и размер убытков по договору хранения определить исходя из накладных, актов приема-передачи, независимой оценки рыночной стоимости, данных статистики или в установленном порядке</w:t>
      </w:r>
    </w:p>
    <w:p>
      <w:pPr>
        <w:spacing w:after="120"/>
        <w:ind w:firstLine="709"/>
      </w:pPr>
      <w:r>
        <w:rPr>
          <w:sz w:val="24"/>
        </w:rPr>
        <w:t xml:space="preserve">1. Убытки, причиненные поклажедателю утратой, недостачей или повреждением вещей, возмещаются хранителем в соответствии со статьей 393 настоящего Кодекса, если законом или договором хранения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При безвозмездном хранении убытки, причиненные поклажедателю утратой, недостачей или повреждением вещей, возмещаются:</w:t>
      </w:r>
    </w:p>
    <w:p>
      <w:pPr>
        <w:spacing w:after="120"/>
        <w:ind w:firstLine="709"/>
      </w:pPr>
      <w:r>
        <w:rPr>
          <w:sz w:val="24"/>
        </w:rPr>
        <w:t xml:space="preserve">1) за утрату и недостачу вещей - в размере стоимости утраченных или недостающих вещей;</w:t>
      </w:r>
    </w:p>
    <w:p>
      <w:pPr>
        <w:spacing w:after="120"/>
        <w:ind w:firstLine="709"/>
      </w:pPr>
      <w:r>
        <w:rPr>
          <w:sz w:val="24"/>
        </w:rPr>
        <w:t xml:space="preserve">2) за повреждение вещей - в размере суммы, на которую понизилась их стоимость.</w:t>
      </w:r>
    </w:p>
    <w:p>
      <w:pPr>
        <w:spacing w:after="120"/>
        <w:ind w:firstLine="709"/>
      </w:pPr>
      <w:r>
        <w:rPr>
          <w:sz w:val="24"/>
        </w:rPr>
        <w:t xml:space="preserve">3. В случае, когда в результате повреждения, за которое хранитель отвечает, качество вещи изменилось настолько, что она не может быть использована по первоначальному назначению, поклажедатель вправе от нее отказаться и потребовать от хранителя возмещения стоимости этой вещи, а также других убытков, если иное не предусмотрено законом или договором хранения.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902</dc:title>
  <dc:creator>АРБИТРАЖ! · arbi.ru</dc:creator>
  <cp:lastModifiedBy>АРБИТРАЖ!</cp:lastModifiedBy>
  <dcterms:created xsi:type="dcterms:W3CDTF">2026-10-22T22:04:39.368Z</dcterms:created>
</cp:coreProperties>
</file>