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904 ГК РФ</w:t>
      </w:r>
    </w:p>
    <w:p>
      <w:pPr>
        <w:spacing w:after="120"/>
        <w:ind w:firstLine="709"/>
      </w:pPr>
      <w:r>
        <w:rPr>
          <w:sz w:val="24"/>
        </w:rPr>
        <w:t xml:space="preserve">- Имеет ли хранитель право на вознаграждение по договору хранения, если он не возвращает имущество после предъявления ему требования о возврате</w:t>
      </w:r>
    </w:p>
    <w:p>
      <w:pPr>
        <w:spacing w:after="120"/>
        <w:ind w:firstLine="709"/>
      </w:pPr>
      <w:r>
        <w:rPr>
          <w:sz w:val="24"/>
        </w:rPr>
        <w:t xml:space="preserve">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904</dc:title>
  <dc:creator>АРБИТРАЖ! · arbi.ru</dc:creator>
  <cp:lastModifiedBy>АРБИТРАЖ!</cp:lastModifiedBy>
  <dcterms:created xsi:type="dcterms:W3CDTF">2026-10-22T23:05:46.820Z</dcterms:created>
</cp:coreProperties>
</file>