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904 ГК РФ</w:t>
      </w:r>
    </w:p>
    <w:p>
      <w:pPr>
        <w:spacing w:after="120"/>
        <w:ind w:firstLine="709"/>
      </w:pPr>
      <w:r>
        <w:rPr>
          <w:sz w:val="24"/>
        </w:rPr>
        <w:t xml:space="preserve">- Имеет ли хранитель право на вознаграждение по договору хранения, если он не возвращает имущество после предъявления ему требования о возврате</w:t>
      </w:r>
    </w:p>
    <w:p>
      <w:pPr>
        <w:spacing w:after="120"/>
        <w:ind w:firstLine="709"/>
      </w:pPr>
      <w:r>
        <w:rPr>
          <w:sz w:val="24"/>
        </w:rPr>
        <w:t xml:space="preserve">Хранитель обязан по первому требованию поклажедателя возвратить принятую на хранение вещь, хотя бы предусмотренный договором срок ее хранения еще не окончился.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904</dc:title>
  <dc:creator>АРБИТРАЖ! · arbi.ru</dc:creator>
  <cp:lastModifiedBy>АРБИТРАЖ!</cp:lastModifiedBy>
  <dcterms:created xsi:type="dcterms:W3CDTF">2026-10-22T17:25:02.830Z</dcterms:created>
</cp:coreProperties>
</file>