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906 ГК РФ</w:t>
      </w:r>
    </w:p>
    <w:p>
      <w:pPr>
        <w:spacing w:after="120"/>
        <w:ind w:firstLine="709"/>
      </w:pPr>
      <w:r>
        <w:rPr>
          <w:sz w:val="24"/>
        </w:rPr>
        <w:t xml:space="preserve">- Возникают ли отношения по хранению между судебным приставом и хранителем при передаче на хранение арестованного или конфискованного имущества в ходе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Правила настоящей главы применяются к обязательствам хранения, возникающим в силу закона, если законом не установлены иные правила.</w:t>
      </w:r>
    </w:p>
    <w:p/>
    <w:p>
      <w:pPr>
        <w:spacing w:after="120"/>
        <w:ind w:firstLine="709"/>
      </w:pPr>
      <w:r>
        <w:rPr>
          <w:sz w:val="24"/>
        </w:rPr>
        <w:t xml:space="preserve">§ 2. Хранение на товарном складе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906</dc:title>
  <dc:creator>АРБИТРАЖ! · arbi.ru</dc:creator>
  <cp:lastModifiedBy>АРБИТРАЖ!</cp:lastModifiedBy>
  <dcterms:created xsi:type="dcterms:W3CDTF">2026-10-22T22:48:15.928Z</dcterms:created>
</cp:coreProperties>
</file>