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907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907 ГК РФ</w:t>
      </w:r>
    </w:p>
    <w:p>
      <w:pPr>
        <w:spacing w:after="120"/>
        <w:ind w:firstLine="709"/>
      </w:pPr>
      <w:r>
        <w:rPr>
          <w:sz w:val="24"/>
        </w:rPr>
        <w:t xml:space="preserve">- Применяются ли положения ГК РФ об оформлении складских документов, если хранение обусловлено ожиданием погрузки</w:t>
      </w:r>
    </w:p>
    <w:p>
      <w:pPr>
        <w:spacing w:after="120"/>
        <w:ind w:firstLine="709"/>
      </w:pPr>
      <w:r>
        <w:rPr>
          <w:sz w:val="24"/>
        </w:rPr>
        <w:t xml:space="preserve">1. По договору складского хранения товарный склад (хранитель) обязуется за вознаграждение хранить товары, переданные ему товаровладельцем (поклажедателем), и возвратить эти товары в сохранности.</w:t>
      </w:r>
    </w:p>
    <w:p>
      <w:pPr>
        <w:spacing w:after="120"/>
        <w:ind w:firstLine="709"/>
      </w:pPr>
      <w:r>
        <w:rPr>
          <w:sz w:val="24"/>
        </w:rPr>
        <w:t xml:space="preserve">Товарным складом признается организация, осуществляющая в качестве предпринимательской деятельности хранение товаров и оказывающая связанные с хранением услуги.</w:t>
      </w:r>
    </w:p>
    <w:p>
      <w:pPr>
        <w:spacing w:after="120"/>
        <w:ind w:firstLine="709"/>
      </w:pPr>
      <w:r>
        <w:rPr>
          <w:sz w:val="24"/>
        </w:rPr>
        <w:t xml:space="preserve">2. Письменная форма договора складского хранения считается соблюденной, если его заключение и принятие товара на склад удостоверены складским документом (статья 912)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907</dc:title>
  <dc:creator>АРБИТРАЖ! · arbi.ru</dc:creator>
  <cp:lastModifiedBy>АРБИТРАЖ!</cp:lastModifiedBy>
  <dcterms:created xsi:type="dcterms:W3CDTF">2026-10-22T20:22:41.408Z</dcterms:created>
</cp:coreProperties>
</file>