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когда для обеспечения сохранности товаров требуется изменить условия их хранения, товарный склад вправе принять требуемые меры самостоятельно. Однако он обязан уведомить товаровладельца о принятых мерах, если требовалось существенно изменить условия хранения товаров, предусмотренные договором складского хранения.</w:t>
      </w:r>
    </w:p>
    <w:p>
      <w:pPr>
        <w:spacing w:after="120"/>
        <w:ind w:firstLine="709"/>
      </w:pPr>
      <w:r>
        <w:rPr>
          <w:sz w:val="24"/>
        </w:rPr>
        <w:t xml:space="preserve">2. При обнаружении во время хранения повреждений товара, выходящих за пределы согласованных в договоре складского хранения или обычных норм естественной порчи, товарный склад обязан незамедлительно составить об этом акт и в тот же день известить товаровладельца.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910</dc:title>
  <dc:creator>АРБИТРАЖ! · arbi.ru</dc:creator>
  <cp:lastModifiedBy>АРБИТРАЖ!</cp:lastModifiedBy>
  <dcterms:created xsi:type="dcterms:W3CDTF">2026-10-22T19:07:24.925Z</dcterms:created>
</cp:coreProperties>
</file>