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912 ГК РФ</w:t>
      </w:r>
    </w:p>
    <w:p>
      <w:pPr>
        <w:spacing w:after="120"/>
        <w:ind w:firstLine="709"/>
      </w:pPr>
      <w:r>
        <w:rPr>
          <w:sz w:val="24"/>
        </w:rPr>
        <w:t xml:space="preserve">- Подтверждают ли не указанные в Гражданском кодексе РФ документы отношения по хранению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912 ГК РФ</w:t>
      </w:r>
    </w:p>
    <w:p>
      <w:pPr>
        <w:spacing w:after="120"/>
        <w:ind w:firstLine="709"/>
      </w:pPr>
      <w:r>
        <w:rPr>
          <w:sz w:val="24"/>
        </w:rPr>
        <w:t xml:space="preserve">1. Товарный склад выдает в подтверждение принятия товара на хранение один из следующих складских документов:</w:t>
      </w:r>
    </w:p>
    <w:p>
      <w:pPr>
        <w:spacing w:after="120"/>
        <w:ind w:firstLine="709"/>
      </w:pPr>
      <w:r>
        <w:rPr>
          <w:sz w:val="24"/>
        </w:rPr>
        <w:t xml:space="preserve">двойное складское свидетельство;</w:t>
      </w:r>
    </w:p>
    <w:p>
      <w:pPr>
        <w:spacing w:after="120"/>
        <w:ind w:firstLine="709"/>
      </w:pPr>
      <w:r>
        <w:rPr>
          <w:sz w:val="24"/>
        </w:rPr>
        <w:t xml:space="preserve">простое складское свидетельство;</w:t>
      </w:r>
    </w:p>
    <w:p>
      <w:pPr>
        <w:spacing w:after="120"/>
        <w:ind w:firstLine="709"/>
      </w:pPr>
      <w:r>
        <w:rPr>
          <w:sz w:val="24"/>
        </w:rPr>
        <w:t xml:space="preserve">складскую квитанцию.</w:t>
      </w:r>
    </w:p>
    <w:p>
      <w:pPr>
        <w:spacing w:after="120"/>
        <w:ind w:firstLine="709"/>
      </w:pPr>
      <w:r>
        <w:rPr>
          <w:sz w:val="24"/>
        </w:rPr>
        <w:t xml:space="preserve">2. Двойное складское свидетельство состоит из двух частей - складского свидетельства и залогового свидетельства (варранта), которые могут быть отделены одно от другого.</w:t>
      </w:r>
    </w:p>
    <w:p>
      <w:pPr>
        <w:spacing w:after="120"/>
        <w:ind w:firstLine="709"/>
      </w:pPr>
      <w:r>
        <w:rPr>
          <w:sz w:val="24"/>
        </w:rPr>
        <w:t xml:space="preserve">3. Двойное складское свидетельство, каждая из двух его частей и простое складское свидетельство являются ценными бумагами.</w:t>
      </w:r>
    </w:p>
    <w:p>
      <w:pPr>
        <w:spacing w:after="120"/>
        <w:ind w:firstLine="709"/>
      </w:pPr>
      <w:r>
        <w:rPr>
          <w:sz w:val="24"/>
        </w:rPr>
        <w:t xml:space="preserve">4. Товар, принятый на хранение по двойному или простому складскому свидетельству, может быть в течение его хранения предметом залога путем залога соответствующего свидетельства.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912</dc:title>
  <dc:creator>АРБИТРАЖ! · arbi.ru</dc:creator>
  <cp:lastModifiedBy>АРБИТРАЖ!</cp:lastModifiedBy>
  <dcterms:created xsi:type="dcterms:W3CDTF">2026-10-22T22:36:46.517Z</dcterms:created>
</cp:coreProperties>
</file>