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913 ГК РФ</w:t>
      </w:r>
    </w:p>
    <w:p>
      <w:pPr>
        <w:spacing w:after="120"/>
        <w:ind w:firstLine="709"/>
      </w:pPr>
      <w:r>
        <w:rPr>
          <w:sz w:val="24"/>
        </w:rPr>
        <w:t xml:space="preserve">- Признается ли складской квитанцией двойное складское свидетельство, составленное с нарушением правил ГК РФ</w:t>
      </w:r>
    </w:p>
    <w:p>
      <w:pPr>
        <w:spacing w:after="120"/>
        <w:ind w:firstLine="709"/>
      </w:pPr>
      <w:r>
        <w:rPr>
          <w:sz w:val="24"/>
        </w:rPr>
        <w:t xml:space="preserve">- Нарушены ли требования к наименованию товара, если его группа и класс не указаны в двойном складском свидетельстве</w:t>
      </w:r>
    </w:p>
    <w:p>
      <w:pPr>
        <w:spacing w:after="120"/>
        <w:ind w:firstLine="709"/>
      </w:pPr>
      <w:r>
        <w:rPr>
          <w:sz w:val="24"/>
        </w:rPr>
        <w:t xml:space="preserve">1. В каждой части двойного складского свидетельства должны быть одинаково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и место нахождения товарного склада, принявшего товар на хранение;</w:t>
      </w:r>
    </w:p>
    <w:p>
      <w:pPr>
        <w:spacing w:after="120"/>
        <w:ind w:firstLine="709"/>
      </w:pPr>
      <w:r>
        <w:rPr>
          <w:sz w:val="24"/>
        </w:rPr>
        <w:t xml:space="preserve">2) текущий номер складского свидетельства по реестру склада;</w:t>
      </w:r>
    </w:p>
    <w:p>
      <w:pPr>
        <w:spacing w:after="120"/>
        <w:ind w:firstLine="709"/>
      </w:pPr>
      <w:r>
        <w:rPr>
          <w:sz w:val="24"/>
        </w:rPr>
        <w:t xml:space="preserve">3) наименование юридического лица либо имя гражданина, от которого принят товар на хранение, а также место нахождения (место жительства) товаровладельца;</w:t>
      </w:r>
    </w:p>
    <w:p>
      <w:pPr>
        <w:spacing w:after="120"/>
        <w:ind w:firstLine="709"/>
      </w:pPr>
      <w:r>
        <w:rPr>
          <w:sz w:val="24"/>
        </w:rPr>
        <w:t xml:space="preserve">4) наименование и количество принятого на хранение товара - число единиц и (или) товарных мест и (или) мера (вес, объем) товара;</w:t>
      </w:r>
    </w:p>
    <w:p>
      <w:pPr>
        <w:spacing w:after="120"/>
        <w:ind w:firstLine="709"/>
      </w:pPr>
      <w:r>
        <w:rPr>
          <w:sz w:val="24"/>
        </w:rPr>
        <w:t xml:space="preserve">5) срок, на который товар принят на хранение, если такой срок устанавливается, либо указание, что товар принят на хранение до востребования;</w:t>
      </w:r>
    </w:p>
    <w:p>
      <w:pPr>
        <w:spacing w:after="120"/>
        <w:ind w:firstLine="709"/>
      </w:pPr>
      <w:r>
        <w:rPr>
          <w:sz w:val="24"/>
        </w:rPr>
        <w:t xml:space="preserve">6) размер вознаграждения за хранение либо тарифы, на основании которых он исчисляется, и порядок оплаты хранения;</w:t>
      </w:r>
    </w:p>
    <w:p>
      <w:pPr>
        <w:spacing w:after="120"/>
        <w:ind w:firstLine="709"/>
      </w:pPr>
      <w:r>
        <w:rPr>
          <w:sz w:val="24"/>
        </w:rPr>
        <w:t xml:space="preserve">7) дата выдачи складского свидетельства.</w:t>
      </w:r>
    </w:p>
    <w:p>
      <w:pPr>
        <w:spacing w:after="120"/>
        <w:ind w:firstLine="709"/>
      </w:pPr>
      <w:r>
        <w:rPr>
          <w:sz w:val="24"/>
        </w:rPr>
        <w:t xml:space="preserve">Обе части двойного складского свидетельства должны иметь идентичные подписи уполномоченного лица и печати товарного склада (при наличии печатей).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Документ, не соответствующий требованиям настоящей статьи, не является двойным складским свидетельством.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913</dc:title>
  <dc:creator>АРБИТРАЖ! · arbi.ru</dc:creator>
  <cp:lastModifiedBy>АРБИТРАЖ!</cp:lastModifiedBy>
  <dcterms:created xsi:type="dcterms:W3CDTF">2026-10-22T22:04:08.432Z</dcterms:created>
</cp:coreProperties>
</file>