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хранения в ломбарде вещей, принадлежащих гражданину, является публичным договором (статья 426) .</w:t>
      </w:r>
    </w:p>
    <w:p>
      <w:pPr>
        <w:spacing w:after="120"/>
        <w:ind w:firstLine="709"/>
      </w:pPr>
      <w:r>
        <w:rPr>
          <w:sz w:val="24"/>
        </w:rPr>
        <w:t xml:space="preserve">2. Заключение договора хранения в ломбарде удостоверяется выдачей ломбардом поклажедателю именной сохранной квитанции .</w:t>
      </w:r>
    </w:p>
    <w:p>
      <w:pPr>
        <w:spacing w:after="120"/>
        <w:ind w:firstLine="709"/>
      </w:pPr>
      <w:r>
        <w:rPr>
          <w:sz w:val="24"/>
        </w:rPr>
        <w:t xml:space="preserve">3. Вещь, сдаваемая на хранение в ломбард, подлежит оценке по соглашению сторон в соответствии с ценами на вещи такого рода и качества, обычно устанавливаемыми в торговле в момент и в месте их принятия на хранение.</w:t>
      </w:r>
    </w:p>
    <w:p>
      <w:pPr>
        <w:spacing w:after="120"/>
        <w:ind w:firstLine="709"/>
      </w:pPr>
      <w:r>
        <w:rPr>
          <w:sz w:val="24"/>
        </w:rPr>
        <w:t xml:space="preserve">4. Ломбард обязан страховать в пользу поклажедателя за свой счет принятые на хранение вещи в полной сумме их оценки, произведенной в соответствии с пунктом 3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919</dc:title>
  <dc:creator>АРБИТРАЖ! · arbi.ru</dc:creator>
  <cp:lastModifiedBy>АРБИТРАЖ!</cp:lastModifiedBy>
  <dcterms:created xsi:type="dcterms:W3CDTF">2026-10-22T20:14:18.480Z</dcterms:created>
</cp:coreProperties>
</file>