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Банк может принимать на хранение ценные бумаги, драгоценные металлы и камни, иные драгоценные вещи и другие ценности, в том числе документы.</w:t>
      </w:r>
    </w:p>
    <w:p>
      <w:pPr>
        <w:spacing w:after="120"/>
        <w:ind w:firstLine="709"/>
      </w:pPr>
      <w:r>
        <w:rPr>
          <w:sz w:val="24"/>
        </w:rPr>
        <w:t xml:space="preserve">2. Заключение договора хранения ценностей в банке удостоверяется выдачей банком поклажедателю именного сохранного документа, предъявление которого является основанием для выдачи хранимых ценностей поклажедателю.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921</dc:title>
  <dc:creator>АРБИТРАЖ! · arbi.ru</dc:creator>
  <cp:lastModifiedBy>АРБИТРАЖ!</cp:lastModifiedBy>
  <dcterms:created xsi:type="dcterms:W3CDTF">2026-10-22T16:46:12.863Z</dcterms:created>
</cp:coreProperties>
</file>