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Имущество, переданное на депонирование эскроу-агенту, должно быть обособлено от его имущества. Это имущество отражается на отдельном балансе и (или) по нему ведется обособленный учет.</w:t>
      </w:r>
    </w:p>
    <w:p>
      <w:pPr>
        <w:spacing w:after="120"/>
        <w:ind w:firstLine="709"/>
      </w:pPr>
      <w:r>
        <w:rPr>
          <w:sz w:val="24"/>
        </w:rPr>
        <w:t xml:space="preserve">2. Смешение эскроу-агентом переданного ему на депонирование имущества с иным (в том числе своим) имуществом того же рода не прекращает обязательства эскроу-агента перед депонентом и бенефициаром.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или не вытекает из существа обязательства, эскроу-агент не вправе использовать переданное ему на депонирование имущество и распоряжаться 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926.4</dc:title>
  <dc:creator>АРБИТРАЖ! · arbi.ru</dc:creator>
  <cp:lastModifiedBy>АРБИТРАЖ!</cp:lastModifiedBy>
  <dcterms:created xsi:type="dcterms:W3CDTF">2026-10-22T19:06:22.468Z</dcterms:created>
</cp:coreProperties>
</file>