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926.5</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47.1. Условное депонирование (эскроу)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pPr>
        <w:spacing w:after="120"/>
        <w:ind w:firstLine="709"/>
      </w:pPr>
      <w:r>
        <w:rPr>
          <w:sz w:val="24"/>
        </w:rPr>
        <w:t xml:space="preserve">2. Эскроу-агент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эскроу-агент, принимая их на депонирование, не знал и не должен был знать, либо в результате умысла или грубой неосторожности депонента.</w:t>
      </w:r>
    </w:p>
    <w:p>
      <w:pPr>
        <w:spacing w:after="120"/>
        <w:ind w:firstLine="709"/>
      </w:pPr>
      <w:r>
        <w:rPr>
          <w:sz w:val="24"/>
        </w:rPr>
        <w:t xml:space="preserve">3. К отношениям по договору эскроу, предусматривающему передачу на депонирование вещей, право собственности на которые сохраняется за депонентом, применяются положения главы 47 настоящего Кодекса, если иное не предусмотрено правилами настоящей главы, договором или не вытекает из существа обязательства.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926.5</dc:title>
  <dc:creator>АРБИТРАЖ! · arbi.ru</dc:creator>
  <cp:lastModifiedBy>АРБИТРАЖ!</cp:lastModifiedBy>
  <dcterms:created xsi:type="dcterms:W3CDTF">2026-10-22T20:26:33.997Z</dcterms:created>
</cp:coreProperties>
</file>