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926.6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Условное депонирование (эскроу)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26.07.2017 N 212-ФЗ)</w:t>
      </w:r>
    </w:p>
    <w:p>
      <w:pPr>
        <w:spacing w:after="120"/>
        <w:ind w:firstLine="709"/>
      </w:pPr>
      <w:r>
        <w:rPr>
          <w:sz w:val="24"/>
        </w:rPr>
        <w:t xml:space="preserve">1. При депонировании бездокументарных ценных бумаг запись об обременении таких ценных бумаг осуществляется в соответствии с правилами пункта 3 статьи 149.2 настоящего Кодекса. Иной порядок и особенности депонирования бездокументарных ценных бумаг могут быть установлены законом о рынке ценных бумаг.</w:t>
      </w:r>
    </w:p>
    <w:p>
      <w:pPr>
        <w:spacing w:after="120"/>
        <w:ind w:firstLine="709"/>
      </w:pPr>
      <w:r>
        <w:rPr>
          <w:sz w:val="24"/>
        </w:rPr>
        <w:t xml:space="preserve">2. Эскроу-агент не вправе распоряжаться депонированными бездокументарными ценными бумагами и осуществлять права по таким ценным бумагам, если иное не предусмотрено договором.</w:t>
      </w:r>
    </w:p>
    <w:p>
      <w:pPr>
        <w:spacing w:after="120"/>
        <w:ind w:firstLine="709"/>
      </w:pPr>
      <w:r>
        <w:rPr>
          <w:sz w:val="24"/>
        </w:rPr>
        <w:t xml:space="preserve">3. Если эскроу-агент не является банком, безналичные денежные средства депонируются на его номинальном счете. Бенефициаром по номинальному счету, открытому эскроу-агенту, является депонент до даты возникновения оснований для передачи имущества бенефициару, предусмотренных договором эскроу, а после указанной даты бенефициаром по номинальному счету является бенефициар по договору эскроу.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926.6</dc:title>
  <dc:creator>АРБИТРАЖ! · arbi.ru</dc:creator>
  <cp:lastModifiedBy>АРБИТРАЖ!</cp:lastModifiedBy>
  <dcterms:created xsi:type="dcterms:W3CDTF">2026-10-22T15:50:36.724Z</dcterms:created>
</cp:coreProperties>
</file>