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При депонировании бездокументарных ценных бумаг запись об обременении таких ценных бумаг осуществляется в соответствии с правилами пункта 3 статьи 149.2 настоящего Кодекса. Иной порядок и особенности депонирования бездокументарных ценных бумаг могут быть установлены законом о рынке ценных бумаг.</w:t>
      </w:r>
    </w:p>
    <w:p>
      <w:pPr>
        <w:spacing w:after="120"/>
        <w:ind w:firstLine="709"/>
      </w:pPr>
      <w:r>
        <w:rPr>
          <w:sz w:val="24"/>
        </w:rPr>
        <w:t xml:space="preserve">2. Эскроу-агент не вправе распоряжаться депонированными бездокументарными ценными бумагами и осуществлять права по таким ценным бумагам,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3. Если эскроу-агент не является банком, безналичные денежные средства депонируются на его номинальном счете. Бенефициаром по номинальному счету, открытому эскроу-агенту, является депонент до даты возникновения оснований для передачи имущества бенефициару, предусмотренных договором эскроу, а после указанной даты бенефициаром по номинальному счету является бенефициар по договору эскроу.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926.6</dc:title>
  <dc:creator>АРБИТРАЖ! · arbi.ru</dc:creator>
  <cp:lastModifiedBy>АРБИТРАЖ!</cp:lastModifiedBy>
  <dcterms:created xsi:type="dcterms:W3CDTF">2026-10-22T16:46:26.897Z</dcterms:created>
</cp:coreProperties>
</file>