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932 ГК РФ &gt;&gt;&gt;</w:t>
      </w:r>
    </w:p>
    <w:p>
      <w:pPr>
        <w:spacing w:after="120"/>
        <w:ind w:firstLine="709"/>
      </w:pPr>
      <w:r>
        <w:rPr>
          <w:sz w:val="24"/>
        </w:rPr>
        <w:t xml:space="preserve">1. Страхование риска ответственности за нарушение договора допускается в случаях, предусмотренных законом .</w:t>
      </w:r>
    </w:p>
    <w:p>
      <w:pPr>
        <w:spacing w:after="120"/>
        <w:ind w:firstLine="709"/>
      </w:pPr>
      <w:r>
        <w:rPr>
          <w:sz w:val="24"/>
        </w:rPr>
        <w:t xml:space="preserve">2. По договору страхования риска ответственности за нарушение договора может быть застрахован только риск ответственности самого страхователя. Договор страхования, не соответствующий этому требованию, ничтожен.</w:t>
      </w:r>
    </w:p>
    <w:p>
      <w:pPr>
        <w:spacing w:after="120"/>
        <w:ind w:firstLine="709"/>
      </w:pPr>
      <w:r>
        <w:rPr>
          <w:sz w:val="24"/>
        </w:rPr>
        <w:t xml:space="preserve">3. Риск ответственности за нарушение договора считается застрахованным в пользу стороны, перед которой по условиям этого договора страхователь должен нести соответствующую ответственность, - выгодоприобретателя, даже если договор страхования заключен в пользу другого лица либо в нем не сказано, в чью пользу он заключен.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932</dc:title>
  <dc:creator>АРБИТРАЖ! · arbi.ru</dc:creator>
  <cp:lastModifiedBy>АРБИТРАЖ!</cp:lastModifiedBy>
  <dcterms:created xsi:type="dcterms:W3CDTF">2026-10-22T13:35:22.230Z</dcterms:created>
</cp:coreProperties>
</file>