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933 ГК РФ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страховое возмещение по договору страхования предпринимательского риска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933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По договору страхования предпринимательского риска может быть застрахован предпринимательский риск только самого страхователя и только в его пользу.</w:t>
      </w:r>
    </w:p>
    <w:p>
      <w:pPr>
        <w:spacing w:after="120"/>
        <w:ind w:firstLine="709"/>
      </w:pPr>
      <w:r>
        <w:rPr>
          <w:sz w:val="24"/>
        </w:rPr>
        <w:t xml:space="preserve">Договор страхования предпринимательского риска лица, не являющегося страхователем, ничтожен.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3 ст. 933 не применяется к отношениям, связанным со страхованием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Договор страхования предпринимательского риска в пользу лица, не являющегося страхователем, считается заключенным в пользу страхователя.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933</dc:title>
  <dc:creator>АРБИТРАЖ! · arbi.ru</dc:creator>
  <cp:lastModifiedBy>АРБИТРАЖ!</cp:lastModifiedBy>
  <dcterms:created xsi:type="dcterms:W3CDTF">2026-10-22T23:05:51.380Z</dcterms:created>
</cp:coreProperties>
</file>