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938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в порядке суброгации по договору страхования имущества или ответственности</w:t>
      </w:r>
    </w:p>
    <w:p>
      <w:pPr>
        <w:spacing w:after="120"/>
        <w:ind w:firstLine="709"/>
      </w:pPr>
      <w:r>
        <w:rPr>
          <w:sz w:val="24"/>
        </w:rPr>
        <w:t xml:space="preserve">В качестве страховщиков договоры страхования могут заключать юридические лица, имеющие разрешения (лицензии) на осуществление страхования соответствующего вида.</w:t>
      </w:r>
    </w:p>
    <w:p>
      <w:pPr>
        <w:spacing w:after="120"/>
        <w:ind w:firstLine="709"/>
      </w:pPr>
      <w:r>
        <w:rPr>
          <w:sz w:val="24"/>
        </w:rPr>
        <w:t xml:space="preserve">Требования, которым должны отвечать страховщики, порядок лицензирования их деятельности и осуществления надзора за этой деятельностью определяются законами о страховании.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251-ФЗ , от 01.07.2021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938</dc:title>
  <dc:creator>АРБИТРАЖ! · arbi.ru</dc:creator>
  <cp:lastModifiedBy>АРБИТРАЖ!</cp:lastModifiedBy>
  <dcterms:created xsi:type="dcterms:W3CDTF">2026-10-22T23:05:19.166Z</dcterms:created>
</cp:coreProperties>
</file>